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EFB4" w14:textId="77777777" w:rsidR="002F3867" w:rsidRDefault="002F3867" w:rsidP="002F3867">
      <w:pPr>
        <w:pStyle w:val="OZNPROJEKTUwskazaniedatylubwersjiprojektu"/>
        <w:keepNext/>
      </w:pPr>
      <w:r>
        <w:t>projekt</w:t>
      </w:r>
    </w:p>
    <w:p w14:paraId="630C9B23" w14:textId="77777777" w:rsidR="002F3867" w:rsidRPr="00E000DC" w:rsidRDefault="002F3867" w:rsidP="002F3867">
      <w:pPr>
        <w:pStyle w:val="OZNRODZAKTUtznustawalubrozporzdzenieiorganwydajcy"/>
      </w:pPr>
      <w:r w:rsidRPr="004810D7">
        <w:t>ustawa</w:t>
      </w:r>
    </w:p>
    <w:p w14:paraId="75A88A3E" w14:textId="77777777" w:rsidR="002F3867" w:rsidRDefault="002F3867" w:rsidP="002F3867">
      <w:pPr>
        <w:pStyle w:val="DATAAKTUdatauchwalenialubwydaniaaktu"/>
      </w:pPr>
      <w:r w:rsidRPr="00E000DC">
        <w:t>z dnia</w:t>
      </w:r>
    </w:p>
    <w:p w14:paraId="5DCC6861" w14:textId="77777777" w:rsidR="002F3867" w:rsidRDefault="002F3867" w:rsidP="002F3867">
      <w:pPr>
        <w:pStyle w:val="TYTUAKTUprzedmiotregulacjiustawylubrozporzdzenia"/>
      </w:pPr>
      <w:r>
        <w:t xml:space="preserve">o zmianie ustawy o </w:t>
      </w:r>
      <w:r w:rsidRPr="00FA321C">
        <w:t>wykonywaniu mandatu posła i</w:t>
      </w:r>
      <w:r>
        <w:t xml:space="preserve"> </w:t>
      </w:r>
      <w:r w:rsidRPr="00FA321C">
        <w:t>senatora</w:t>
      </w:r>
    </w:p>
    <w:p w14:paraId="05CD34D2" w14:textId="77777777" w:rsidR="002F3867" w:rsidRDefault="002F3867" w:rsidP="002F3867">
      <w:pPr>
        <w:pStyle w:val="ARTartustawynprozporzdzenia"/>
        <w:keepNext/>
      </w:pPr>
      <w:r w:rsidRPr="00044AF2">
        <w:rPr>
          <w:rStyle w:val="Ppogrubienie"/>
        </w:rPr>
        <w:t>Art. 1.</w:t>
      </w:r>
      <w:r>
        <w:rPr>
          <w:rStyle w:val="Ppogrubienie"/>
        </w:rPr>
        <w:tab/>
        <w:t xml:space="preserve"> </w:t>
      </w:r>
      <w:r w:rsidRPr="00FA7CB2">
        <w:t>W ustawie z</w:t>
      </w:r>
      <w:r>
        <w:t xml:space="preserve"> </w:t>
      </w:r>
      <w:r w:rsidRPr="00FA7CB2">
        <w:t>dnia 9</w:t>
      </w:r>
      <w:r>
        <w:t xml:space="preserve"> </w:t>
      </w:r>
      <w:r w:rsidRPr="00FA7CB2">
        <w:t>maja 1996</w:t>
      </w:r>
      <w:r>
        <w:t xml:space="preserve"> </w:t>
      </w:r>
      <w:r w:rsidRPr="00FA7CB2">
        <w:t>r. o</w:t>
      </w:r>
      <w:r>
        <w:t xml:space="preserve"> </w:t>
      </w:r>
      <w:r w:rsidRPr="00FA7CB2">
        <w:t>wykonywaniu mandatu posła i</w:t>
      </w:r>
      <w:r>
        <w:t xml:space="preserve"> </w:t>
      </w:r>
      <w:r w:rsidRPr="00FA7CB2">
        <w:t>senatora (</w:t>
      </w:r>
      <w:r>
        <w:t>Dz. U.</w:t>
      </w:r>
      <w:r w:rsidRPr="00FA7CB2">
        <w:t xml:space="preserve"> z</w:t>
      </w:r>
      <w:r>
        <w:t> </w:t>
      </w:r>
      <w:r w:rsidRPr="00FA7CB2">
        <w:t>2024</w:t>
      </w:r>
      <w:r>
        <w:t xml:space="preserve"> </w:t>
      </w:r>
      <w:r w:rsidRPr="00FA7CB2">
        <w:t>r.</w:t>
      </w:r>
      <w:r>
        <w:t xml:space="preserve"> poz. </w:t>
      </w:r>
      <w:r w:rsidRPr="00FA7CB2">
        <w:t>907</w:t>
      </w:r>
      <w:r>
        <w:t xml:space="preserve"> oraz z 2026 r. poz. 542</w:t>
      </w:r>
      <w:r w:rsidRPr="00FA7CB2">
        <w:t>)</w:t>
      </w:r>
      <w:r>
        <w:t xml:space="preserve"> wprowadza się następujące zmiany:</w:t>
      </w:r>
    </w:p>
    <w:p w14:paraId="2C701F20" w14:textId="77777777" w:rsidR="002F3867" w:rsidRDefault="002F3867" w:rsidP="002F3867">
      <w:pPr>
        <w:pStyle w:val="PKTpunkt"/>
      </w:pPr>
      <w:r>
        <w:t>1)</w:t>
      </w:r>
      <w:r>
        <w:tab/>
        <w:t>w art. 2:</w:t>
      </w:r>
    </w:p>
    <w:p w14:paraId="6466E95C" w14:textId="77777777" w:rsidR="002F3867" w:rsidRDefault="002F3867" w:rsidP="002F3867">
      <w:pPr>
        <w:pStyle w:val="LITlitera"/>
      </w:pPr>
      <w:r>
        <w:t>a)</w:t>
      </w:r>
      <w:r>
        <w:tab/>
        <w:t>uchyla się ust. 1</w:t>
      </w:r>
      <w:r w:rsidRPr="008439D8">
        <w:t>‒</w:t>
      </w:r>
      <w:r>
        <w:t>3,</w:t>
      </w:r>
    </w:p>
    <w:p w14:paraId="5B136D59" w14:textId="77777777" w:rsidR="002F3867" w:rsidRDefault="002F3867" w:rsidP="002F3867">
      <w:pPr>
        <w:pStyle w:val="LITlitera"/>
      </w:pPr>
      <w:r>
        <w:t>b)</w:t>
      </w:r>
      <w:r>
        <w:tab/>
        <w:t>ust. 5 otrzymuje brzmienie:</w:t>
      </w:r>
    </w:p>
    <w:p w14:paraId="1356E400" w14:textId="77777777" w:rsidR="002F3867" w:rsidRDefault="002F3867" w:rsidP="002F3867">
      <w:pPr>
        <w:pStyle w:val="ZLITUSTzmustliter"/>
      </w:pPr>
      <w:r>
        <w:t>„5. Sposób złożenia ślubowania oraz tryb rozpatrywania spraw posłów lub senatorów, którzy nie złożyli ślubowania w terminie, o którym mowa w ust. 4, określają regulaminy Sejmu lub Senatu.”;</w:t>
      </w:r>
    </w:p>
    <w:p w14:paraId="0775805D" w14:textId="77777777" w:rsidR="002F3867" w:rsidRDefault="002F3867" w:rsidP="002F3867">
      <w:pPr>
        <w:pStyle w:val="PKTpunkt"/>
        <w:keepNext/>
      </w:pPr>
      <w:r>
        <w:t>2)</w:t>
      </w:r>
      <w:r>
        <w:tab/>
        <w:t>w art. 18 ust. 9 otrzymuje brzmienie:</w:t>
      </w:r>
    </w:p>
    <w:p w14:paraId="41CA1147" w14:textId="77777777" w:rsidR="002F3867" w:rsidRPr="002438FA" w:rsidRDefault="002F3867" w:rsidP="002F3867">
      <w:pPr>
        <w:pStyle w:val="ZUSTzmustartykuempunktem"/>
      </w:pPr>
      <w:r>
        <w:t>„</w:t>
      </w:r>
      <w:r w:rsidRPr="002438FA">
        <w:t>9.</w:t>
      </w:r>
      <w:r>
        <w:t> </w:t>
      </w:r>
      <w:r w:rsidRPr="002438FA">
        <w:t>Środki na cele, o</w:t>
      </w:r>
      <w:r>
        <w:t xml:space="preserve"> </w:t>
      </w:r>
      <w:r w:rsidRPr="002438FA">
        <w:t>których mowa w</w:t>
      </w:r>
      <w:r>
        <w:t xml:space="preserve"> ust. </w:t>
      </w:r>
      <w:r w:rsidRPr="002438FA">
        <w:t>5</w:t>
      </w:r>
      <w:r>
        <w:t>–</w:t>
      </w:r>
      <w:r w:rsidRPr="002438FA">
        <w:t xml:space="preserve">7, </w:t>
      </w:r>
      <w:r>
        <w:t xml:space="preserve">oraz na odprawy rentowe lub emerytalne przysługujące pracownikom </w:t>
      </w:r>
      <w:r w:rsidRPr="002438FA">
        <w:t>biur klubów i</w:t>
      </w:r>
      <w:r>
        <w:t xml:space="preserve"> </w:t>
      </w:r>
      <w:r w:rsidRPr="002438FA">
        <w:t xml:space="preserve">kół </w:t>
      </w:r>
      <w:r>
        <w:t xml:space="preserve">na podstawie Kodeksu pracy </w:t>
      </w:r>
      <w:r w:rsidRPr="002438FA">
        <w:t>zapewnia się w</w:t>
      </w:r>
      <w:r>
        <w:t xml:space="preserve"> </w:t>
      </w:r>
      <w:r w:rsidRPr="002438FA">
        <w:t>budżetach odpowiednio Kancelarii Sejmu i</w:t>
      </w:r>
      <w:r>
        <w:t xml:space="preserve"> </w:t>
      </w:r>
      <w:r w:rsidRPr="002438FA">
        <w:t>Kancelarii Senatu.</w:t>
      </w:r>
      <w:r>
        <w:t>”;</w:t>
      </w:r>
    </w:p>
    <w:p w14:paraId="0005B20E" w14:textId="77777777" w:rsidR="002F3867" w:rsidRDefault="002F3867" w:rsidP="002F3867">
      <w:pPr>
        <w:pStyle w:val="PKTpunkt"/>
        <w:keepNext/>
      </w:pPr>
      <w:r>
        <w:t>3)</w:t>
      </w:r>
      <w:r>
        <w:tab/>
        <w:t>w art. 23 ust. 9 otrzymuje brzmienie:</w:t>
      </w:r>
    </w:p>
    <w:p w14:paraId="758C6DB8" w14:textId="77777777" w:rsidR="002F3867" w:rsidRDefault="002F3867" w:rsidP="002F3867">
      <w:pPr>
        <w:pStyle w:val="ZUSTzmustartykuempunktem"/>
      </w:pPr>
      <w:r>
        <w:t>„</w:t>
      </w:r>
      <w:r w:rsidRPr="002438FA">
        <w:t>9.</w:t>
      </w:r>
      <w:r>
        <w:t> </w:t>
      </w:r>
      <w:r w:rsidRPr="002438FA">
        <w:t>Środki na cele, o</w:t>
      </w:r>
      <w:r>
        <w:t xml:space="preserve"> </w:t>
      </w:r>
      <w:r w:rsidRPr="002438FA">
        <w:t>których mowa w</w:t>
      </w:r>
      <w:r>
        <w:t xml:space="preserve"> ust. </w:t>
      </w:r>
      <w:r w:rsidRPr="002438FA">
        <w:t>6</w:t>
      </w:r>
      <w:r>
        <w:t xml:space="preserve"> i </w:t>
      </w:r>
      <w:r w:rsidRPr="002438FA">
        <w:t xml:space="preserve">7, </w:t>
      </w:r>
      <w:r>
        <w:t xml:space="preserve">oraz na odprawy rentowe lub emerytalne przysługujące pracownikom </w:t>
      </w:r>
      <w:r w:rsidRPr="002438FA">
        <w:t xml:space="preserve">biur </w:t>
      </w:r>
      <w:r>
        <w:t>na podstawie Kodeksu pracy</w:t>
      </w:r>
      <w:r w:rsidRPr="002438FA">
        <w:t xml:space="preserve"> zapewnia się w</w:t>
      </w:r>
      <w:r>
        <w:t> </w:t>
      </w:r>
      <w:r w:rsidRPr="002438FA">
        <w:t>budżetach odpowiednio Kancelarii Sejmu i</w:t>
      </w:r>
      <w:r>
        <w:t xml:space="preserve"> </w:t>
      </w:r>
      <w:r w:rsidRPr="002438FA">
        <w:t>Kancelarii Senatu.</w:t>
      </w:r>
      <w:r>
        <w:t>”;</w:t>
      </w:r>
    </w:p>
    <w:p w14:paraId="275A133F" w14:textId="77777777" w:rsidR="002F3867" w:rsidRPr="00015CAB" w:rsidRDefault="002F3867" w:rsidP="002F3867">
      <w:pPr>
        <w:pStyle w:val="PKTpunkt"/>
      </w:pPr>
      <w:r>
        <w:t>4)</w:t>
      </w:r>
      <w:r>
        <w:tab/>
      </w:r>
      <w:r w:rsidRPr="00015CAB">
        <w:t>w art.</w:t>
      </w:r>
      <w:r>
        <w:t xml:space="preserve"> </w:t>
      </w:r>
      <w:r w:rsidRPr="00015CAB">
        <w:t>30 ust.</w:t>
      </w:r>
      <w:r>
        <w:t xml:space="preserve"> </w:t>
      </w:r>
      <w:r w:rsidRPr="00015CAB">
        <w:t>1 otrzymuje brzmienie:</w:t>
      </w:r>
    </w:p>
    <w:p w14:paraId="45A132C6" w14:textId="77777777" w:rsidR="002F3867" w:rsidRDefault="002F3867" w:rsidP="002F3867">
      <w:pPr>
        <w:pStyle w:val="ZUSTzmustartykuempunktem"/>
      </w:pPr>
      <w:r>
        <w:t>„1. </w:t>
      </w:r>
      <w:r w:rsidRPr="00251233">
        <w:t>W okresie wykonywania mandatu posłowie i senatorowie nie mogą wykonywać pracy na podstawie stosunku pracy: w Kancelarii Trybunału Konstytucyjnego, w Biurze Służby Prawnej Trybunału Konstytucyjnego, w Najwyższej Izbie Kontroli, w Biurze Rzecznika Praw Obywatelskich, w Biurze Rzecznika Praw Dziecka, w Biurze Krajowej Rady Radiofonii i Telewizji, w Krajowym Biurze Wyborczym, w Państwowej Inspekcji Pracy, w administracji samorządu terytorialnego oraz nie mogą wykonywać pracy w</w:t>
      </w:r>
      <w:r>
        <w:t> </w:t>
      </w:r>
      <w:r w:rsidRPr="00251233">
        <w:t>charakterze asesora sądowego, pracownika administracyjnego sądu i prokuratury.</w:t>
      </w:r>
      <w:r>
        <w:t>”</w:t>
      </w:r>
      <w:r w:rsidRPr="00251233">
        <w:t>;</w:t>
      </w:r>
    </w:p>
    <w:p w14:paraId="5425BC6E" w14:textId="77777777" w:rsidR="002F3867" w:rsidRPr="00015CAB" w:rsidRDefault="002F3867" w:rsidP="002F3867">
      <w:pPr>
        <w:pStyle w:val="PKTpunkt"/>
      </w:pPr>
      <w:r>
        <w:t>5</w:t>
      </w:r>
      <w:r w:rsidRPr="00015CAB">
        <w:t>)</w:t>
      </w:r>
      <w:r w:rsidRPr="00015CAB">
        <w:tab/>
        <w:t>w art.</w:t>
      </w:r>
      <w:r>
        <w:t xml:space="preserve"> </w:t>
      </w:r>
      <w:r w:rsidRPr="00015CAB">
        <w:t>35a:</w:t>
      </w:r>
    </w:p>
    <w:p w14:paraId="46BAB462" w14:textId="77777777" w:rsidR="002F3867" w:rsidRDefault="002F3867" w:rsidP="002F3867">
      <w:pPr>
        <w:pStyle w:val="LITlitera"/>
      </w:pPr>
      <w:r>
        <w:t>a)</w:t>
      </w:r>
      <w:r>
        <w:tab/>
        <w:t xml:space="preserve">w </w:t>
      </w:r>
      <w:r w:rsidRPr="00251233">
        <w:t>ust.</w:t>
      </w:r>
      <w:r>
        <w:t xml:space="preserve"> </w:t>
      </w:r>
      <w:r w:rsidRPr="00251233">
        <w:t>3 w pkt</w:t>
      </w:r>
      <w:r>
        <w:t xml:space="preserve"> </w:t>
      </w:r>
      <w:r w:rsidRPr="00251233">
        <w:t xml:space="preserve">3 wyrazy </w:t>
      </w:r>
      <w:r>
        <w:t>„</w:t>
      </w:r>
      <w:r w:rsidRPr="00251233">
        <w:t>50</w:t>
      </w:r>
      <w:r>
        <w:t xml:space="preserve"> </w:t>
      </w:r>
      <w:r w:rsidRPr="00251233">
        <w:t>% najniższego wynagrodzenia pracowników za pracę, obowiązującego w grudniu roku poprzedzającego, określonego przez Ministra Pracy i Polityki Socjalnej na podstawie Kodeksu pracy</w:t>
      </w:r>
      <w:r>
        <w:t>”</w:t>
      </w:r>
      <w:r w:rsidRPr="00251233">
        <w:t xml:space="preserve"> zastępuje się wyrazami </w:t>
      </w:r>
      <w:r>
        <w:t>„</w:t>
      </w:r>
      <w:r w:rsidRPr="00251233">
        <w:t>25</w:t>
      </w:r>
      <w:r>
        <w:t> </w:t>
      </w:r>
      <w:r w:rsidRPr="00251233">
        <w:t xml:space="preserve">% </w:t>
      </w:r>
      <w:r w:rsidRPr="00251233">
        <w:lastRenderedPageBreak/>
        <w:t>minimalnego wynagrodzenia za pracę ustalonego na podstawie przepisów ustawy z</w:t>
      </w:r>
      <w:r>
        <w:t> </w:t>
      </w:r>
      <w:r w:rsidRPr="00251233">
        <w:t>dnia 10 października 2002 r. o minimalnym wynagrodzeniu za pracę (Dz. U. z</w:t>
      </w:r>
      <w:r>
        <w:t> </w:t>
      </w:r>
      <w:r w:rsidRPr="00251233">
        <w:t>2024</w:t>
      </w:r>
      <w:r>
        <w:t> </w:t>
      </w:r>
      <w:r w:rsidRPr="00251233">
        <w:t>r. poz. 1773)</w:t>
      </w:r>
      <w:r>
        <w:t>”,</w:t>
      </w:r>
    </w:p>
    <w:p w14:paraId="03A6E713" w14:textId="77777777" w:rsidR="002F3867" w:rsidRPr="00015CAB" w:rsidRDefault="002F3867" w:rsidP="002F3867">
      <w:pPr>
        <w:pStyle w:val="LITlitera"/>
      </w:pPr>
      <w:r>
        <w:t>b)</w:t>
      </w:r>
      <w:r>
        <w:tab/>
      </w:r>
      <w:r w:rsidRPr="00015CAB">
        <w:t>ust. 8 otrzymuje brzmienie:</w:t>
      </w:r>
    </w:p>
    <w:p w14:paraId="34FB84B7" w14:textId="77777777" w:rsidR="002F3867" w:rsidRDefault="002F3867" w:rsidP="002F3867">
      <w:pPr>
        <w:pStyle w:val="ZLITUSTzmustliter"/>
      </w:pPr>
      <w:r>
        <w:t>„8. </w:t>
      </w:r>
      <w:r w:rsidRPr="009C140A">
        <w:t xml:space="preserve">Informacje zawarte w zgłoszeniach do Rejestru są </w:t>
      </w:r>
      <w:r w:rsidRPr="001C5FED">
        <w:t>podawane do wiadomości publicznej odpowiednio przez Marszałka Sejmu albo Marszałka Senatu w formie zapisu elektronicznego</w:t>
      </w:r>
      <w:r>
        <w:t xml:space="preserve"> </w:t>
      </w:r>
      <w:r w:rsidRPr="009C140A">
        <w:t xml:space="preserve">i są udostępniane w okresie </w:t>
      </w:r>
      <w:r>
        <w:t>wykonywania mandatu</w:t>
      </w:r>
      <w:r w:rsidRPr="009C140A">
        <w:t xml:space="preserve"> oraz w okresie 6 lat po zakończeniu </w:t>
      </w:r>
      <w:r>
        <w:t>wykonywania mandatu.”;</w:t>
      </w:r>
    </w:p>
    <w:p w14:paraId="301F3EE4" w14:textId="77777777" w:rsidR="002F3867" w:rsidRDefault="002F3867" w:rsidP="002F3867">
      <w:pPr>
        <w:pStyle w:val="PKTpunkt"/>
      </w:pPr>
      <w:r>
        <w:t>6)</w:t>
      </w:r>
      <w:r>
        <w:tab/>
        <w:t>w art. 44:</w:t>
      </w:r>
    </w:p>
    <w:p w14:paraId="39BC8593" w14:textId="77777777" w:rsidR="002F3867" w:rsidRDefault="002F3867" w:rsidP="002F3867">
      <w:pPr>
        <w:pStyle w:val="LITlitera"/>
      </w:pPr>
      <w:r>
        <w:t>a)</w:t>
      </w:r>
      <w:r>
        <w:tab/>
        <w:t>uchyla się ust. 1,</w:t>
      </w:r>
    </w:p>
    <w:p w14:paraId="105D1C97" w14:textId="77777777" w:rsidR="002F3867" w:rsidRDefault="002F3867" w:rsidP="002F3867">
      <w:pPr>
        <w:pStyle w:val="LITlitera"/>
      </w:pPr>
      <w:r>
        <w:t>b)</w:t>
      </w:r>
      <w:r>
        <w:tab/>
        <w:t>ust. 3 otrzymuje brzmienie:</w:t>
      </w:r>
    </w:p>
    <w:p w14:paraId="5F1E8B92" w14:textId="77777777" w:rsidR="002F3867" w:rsidRDefault="002F3867" w:rsidP="002F3867">
      <w:pPr>
        <w:pStyle w:val="ZLITUSTzmustliter"/>
      </w:pPr>
      <w:r>
        <w:t>„3. </w:t>
      </w:r>
      <w:r w:rsidRPr="00A810D6">
        <w:t>Szczegółowe zasady realizacji uprawnie</w:t>
      </w:r>
      <w:r>
        <w:t>nia,</w:t>
      </w:r>
      <w:r w:rsidRPr="00A810D6">
        <w:t xml:space="preserve"> o który</w:t>
      </w:r>
      <w:r>
        <w:t>m</w:t>
      </w:r>
      <w:r w:rsidRPr="00A810D6">
        <w:t xml:space="preserve"> mowa w ust.</w:t>
      </w:r>
      <w:r>
        <w:t xml:space="preserve"> </w:t>
      </w:r>
      <w:r w:rsidRPr="00A810D6">
        <w:t>2, określają Prezydium Sejmu i Prezydium Senatu</w:t>
      </w:r>
      <w:r>
        <w:t>.”.</w:t>
      </w:r>
    </w:p>
    <w:p w14:paraId="31DD3B27" w14:textId="77777777" w:rsidR="002F3867" w:rsidRPr="00A00E44" w:rsidRDefault="002F3867" w:rsidP="002F3867">
      <w:pPr>
        <w:pStyle w:val="ARTartustawynprozporzdzenia"/>
      </w:pPr>
      <w:r w:rsidRPr="00044AF2">
        <w:rPr>
          <w:rStyle w:val="Ppogrubienie"/>
        </w:rPr>
        <w:t>Art. 2.</w:t>
      </w:r>
      <w:r>
        <w:rPr>
          <w:rStyle w:val="Ppogrubienie"/>
        </w:rPr>
        <w:tab/>
        <w:t xml:space="preserve"> </w:t>
      </w:r>
      <w:r w:rsidRPr="00863841">
        <w:t>Ustawa wchodzi w</w:t>
      </w:r>
      <w:r>
        <w:t xml:space="preserve"> </w:t>
      </w:r>
      <w:r w:rsidRPr="00863841">
        <w:t>życie po upływie 14</w:t>
      </w:r>
      <w:r>
        <w:t xml:space="preserve"> </w:t>
      </w:r>
      <w:r w:rsidRPr="00863841">
        <w:t>dni od dnia ogłoszenia.</w:t>
      </w:r>
    </w:p>
    <w:p w14:paraId="1FD63818" w14:textId="77777777" w:rsidR="002F3867" w:rsidRDefault="002F3867" w:rsidP="002F3867">
      <w:pPr>
        <w:pStyle w:val="ARTartustawynprozporzdzenia"/>
        <w:sectPr w:rsidR="002F3867" w:rsidSect="002F3867">
          <w:headerReference w:type="default" r:id="rId8"/>
          <w:footnotePr>
            <w:numRestart w:val="eachSect"/>
          </w:footnotePr>
          <w:pgSz w:w="11906" w:h="16838"/>
          <w:pgMar w:top="1560" w:right="1434" w:bottom="1560" w:left="1418" w:header="709" w:footer="709" w:gutter="0"/>
          <w:pgNumType w:start="1"/>
          <w:cols w:space="708"/>
          <w:titlePg/>
          <w:docGrid w:linePitch="254"/>
        </w:sectPr>
      </w:pPr>
    </w:p>
    <w:p w14:paraId="36F09BB0" w14:textId="77777777" w:rsidR="002F3867" w:rsidRPr="00975864" w:rsidRDefault="002F3867" w:rsidP="002F3867">
      <w:pPr>
        <w:pStyle w:val="OZNRODZAKTUtznustawalubrozporzdzenieiorganwydajcy"/>
      </w:pPr>
      <w:r w:rsidRPr="00975864">
        <w:lastRenderedPageBreak/>
        <w:t>uzasadnieni</w:t>
      </w:r>
      <w:r>
        <w:t>e</w:t>
      </w:r>
    </w:p>
    <w:p w14:paraId="479177B1" w14:textId="77777777" w:rsidR="002F3867" w:rsidRPr="00466976" w:rsidRDefault="002F3867" w:rsidP="002F3867"/>
    <w:p w14:paraId="32A9A974" w14:textId="77777777" w:rsidR="002F3867" w:rsidRPr="00466976" w:rsidRDefault="002F3867" w:rsidP="002F3867">
      <w:pPr>
        <w:pStyle w:val="PKTpunkt"/>
        <w:rPr>
          <w:rStyle w:val="Ppogrubienie"/>
        </w:rPr>
      </w:pPr>
      <w:r w:rsidRPr="00466976">
        <w:rPr>
          <w:rStyle w:val="Ppogrubienie"/>
        </w:rPr>
        <w:t>1.</w:t>
      </w:r>
      <w:r w:rsidRPr="00466976">
        <w:rPr>
          <w:rStyle w:val="Ppogrubienie"/>
        </w:rPr>
        <w:tab/>
        <w:t>Cel projektowanej ustawy</w:t>
      </w:r>
    </w:p>
    <w:p w14:paraId="31D68D0D" w14:textId="77777777" w:rsidR="002F3867" w:rsidRDefault="002F3867" w:rsidP="002F3867">
      <w:pPr>
        <w:pStyle w:val="ARTartustawynprozporzdzenia"/>
      </w:pPr>
      <w:r>
        <w:t>Projekt ustawy zmierza do wyeliminowania z ustawy o wykonywaniu mandatu posła i senatora (dalej: „ustawa o wykonywaniu mandatu”) przepisów stanowiących powtórzenie przepisów Konstytucji oraz posiadających brzmienie sprzeczne z treścią przepisów rangi konstytucyjnej, aktualizacji obowiązku ujawniania darowizn w rejestrze korzyści w związku ze zmianą wartości pieniądza, rozwiania wątpliwości interpretacyjnych, a także likwidacji uprawnienia zbędnego z punktu widzenia postępu cyfryzacyjnego oraz ukształtowania się innego zwyczaju parlamentarnego w tym zakresie.</w:t>
      </w:r>
    </w:p>
    <w:p w14:paraId="0EEDF142" w14:textId="77777777" w:rsidR="002F3867" w:rsidRDefault="002F3867" w:rsidP="002F3867"/>
    <w:p w14:paraId="594D3A08" w14:textId="77777777" w:rsidR="002F3867" w:rsidRDefault="002F3867" w:rsidP="002F3867">
      <w:pPr>
        <w:pStyle w:val="PKTpunkt"/>
        <w:rPr>
          <w:rStyle w:val="Ppogrubienie"/>
        </w:rPr>
      </w:pPr>
      <w:r w:rsidRPr="00466976">
        <w:rPr>
          <w:rStyle w:val="Ppogrubienie"/>
        </w:rPr>
        <w:t>2.</w:t>
      </w:r>
      <w:r w:rsidRPr="00466976">
        <w:rPr>
          <w:rStyle w:val="Ppogrubienie"/>
        </w:rPr>
        <w:tab/>
        <w:t>Różnice między obowiązującym a projektowanym stanem prawnym</w:t>
      </w:r>
    </w:p>
    <w:p w14:paraId="02B82292" w14:textId="77777777" w:rsidR="002F3867" w:rsidRPr="00E7486F" w:rsidRDefault="002F3867" w:rsidP="002F3867">
      <w:pPr>
        <w:pStyle w:val="ARTartustawynprozporzdzenia"/>
        <w:tabs>
          <w:tab w:val="left" w:pos="5625"/>
        </w:tabs>
        <w:rPr>
          <w:rStyle w:val="Ppogrubienie"/>
        </w:rPr>
      </w:pPr>
      <w:r w:rsidRPr="00E7486F">
        <w:rPr>
          <w:rStyle w:val="Ppogrubienie"/>
        </w:rPr>
        <w:t>2.1.</w:t>
      </w:r>
      <w:r>
        <w:rPr>
          <w:rStyle w:val="Ppogrubienie"/>
        </w:rPr>
        <w:t> </w:t>
      </w:r>
      <w:r w:rsidRPr="00E7486F">
        <w:rPr>
          <w:rStyle w:val="Ppogrubienie"/>
        </w:rPr>
        <w:t>Ślubowanie</w:t>
      </w:r>
    </w:p>
    <w:p w14:paraId="6D12F076" w14:textId="77777777" w:rsidR="002F3867" w:rsidRDefault="002F3867" w:rsidP="002F3867">
      <w:pPr>
        <w:pStyle w:val="ARTartustawynprozporzdzenia"/>
      </w:pPr>
      <w:r>
        <w:t>Art. 2 ustawy o wykonywaniu mandatu nakłada na posłów obowiązek złożenia przed przystąpieniem do wykonywania mandatu ślubowania o treści ustalonej w ust. 1. „</w:t>
      </w:r>
      <w:r w:rsidRPr="0020702F">
        <w:t>Ślubuję uroczyście jako poseł na Sejm Rzeczypospolitej Polskiej rzetelnie i sumiennie wykonywać obowiązki wobec Narodu, strzec suwerenności Ojczyzny i</w:t>
      </w:r>
      <w:r>
        <w:t> </w:t>
      </w:r>
      <w:r w:rsidRPr="0020702F">
        <w:t>dobra obywateli, przestrzegać porządku prawnego Rzeczypospolitej Polskiej</w:t>
      </w:r>
      <w:r>
        <w:t>” – stanowi rota ślubowania ustalona przez ustawę. Art. 2 ust. 2 ustawy zawiera tekst ślubowania ustalony dla senatorów: „</w:t>
      </w:r>
      <w:r w:rsidRPr="0020702F">
        <w:t xml:space="preserve">Ślubuję uroczyście jako </w:t>
      </w:r>
      <w:r>
        <w:t>senator</w:t>
      </w:r>
      <w:r w:rsidRPr="0020702F">
        <w:t xml:space="preserve"> Rzeczypospolitej Polskiej rzetelnie i</w:t>
      </w:r>
      <w:r>
        <w:t> </w:t>
      </w:r>
      <w:r w:rsidRPr="0020702F">
        <w:t>sumiennie wykonywać obowiązki wobec Narodu, strzec suwerenności Ojczyzny i dobra obywateli, przestrzegać porządku prawnego Rzeczypospolitej Polskiej</w:t>
      </w:r>
      <w:r>
        <w:t xml:space="preserve">”. Zarówno posłowie, jak i senatorowie, mogą złożyć ślubowanie z dodaniem słów „Tak mi dopomóż Bóg”. </w:t>
      </w:r>
    </w:p>
    <w:p w14:paraId="0A9FCC45" w14:textId="77777777" w:rsidR="002F3867" w:rsidRDefault="002F3867" w:rsidP="002F3867">
      <w:pPr>
        <w:pStyle w:val="ARTartustawynprozporzdzenia"/>
      </w:pPr>
      <w:r>
        <w:t>2 kwietnia 1997 r. Zgromadzenie Narodowe uchwaliło Konstytucję Rzeczypospolitej Polskiej, która weszła w życie 17 października 1997 r. Zgodnie z art. 104 ust. 2 Konstytucji, przed rozpoczęciem sprawowania mandatu posłowie składają ślubowanie o następującej treści: „</w:t>
      </w:r>
      <w:r w:rsidRPr="00254397">
        <w:t>Uroczyście ślubuję rzetelnie i sumiennie wykonywać obowiązki wobec Narodu, strzec suwerenności i interesów Państwa, czynić wszystko dla pomyślności Ojczyzny i dobra obywateli, przestrzegać Konstytucji i innych praw Rzeczypospolitej Polskiej</w:t>
      </w:r>
      <w:r>
        <w:t>”. Art. 108 Konstytucji nakazuje odpowiednie stosowanie przepisu art. 104 ust. 2 do senatorów, obejmując ich obowiązkiem złożenia ślubowania. Generalna formuła, jaką ustrojodawca zastosował w art. 104 ust. 2 nadaje się jednak do zastosowania wprost także przez senatorów.</w:t>
      </w:r>
    </w:p>
    <w:p w14:paraId="2F6C1EC0" w14:textId="77777777" w:rsidR="002F3867" w:rsidRDefault="002F3867" w:rsidP="002F3867">
      <w:pPr>
        <w:pStyle w:val="ARTartustawynprozporzdzenia"/>
      </w:pPr>
      <w:r>
        <w:lastRenderedPageBreak/>
        <w:t xml:space="preserve">Należy zwrócić uwagę na fakt, że rota ślubowania wprowadzona przez Konstytucję różni się od roty zawartej w ustawie. W związku z faktem, że art. 8 Konstytucji stanowi, że najwyższym prawem Rzeczypospolitej jest Konstytucja i stosuje się ją bezpośrednio, chyba że jej przepisy stanowią inaczej, od niemal 30 lat obowiązywania Konstytucji posłowie i senatorowie składają ślubowanie według roty ustalonej w art. 104 ust. 2 Konstytucji. Mając na względzie dbałość o polski system prawny, proponuje się uporządkowanie ustawy i usunięcie z systemu prawnego regulacji niedających się pogodzić z przepisami Konstytucji lub stanowiących ich powtórzenie. </w:t>
      </w:r>
    </w:p>
    <w:p w14:paraId="61E4819E" w14:textId="77777777" w:rsidR="002F3867" w:rsidRPr="00E7486F" w:rsidRDefault="002F3867" w:rsidP="002F3867">
      <w:pPr>
        <w:pStyle w:val="ARTartustawynprozporzdzenia"/>
      </w:pPr>
      <w:r>
        <w:t xml:space="preserve">Projekt przewiduje zmianę art. 2 ustawy o wykonywaniu mandatu, polegającą na </w:t>
      </w:r>
      <w:r w:rsidRPr="00E7486F">
        <w:t>uchyleniu ust.</w:t>
      </w:r>
      <w:r>
        <w:t> </w:t>
      </w:r>
      <w:r w:rsidRPr="00E7486F">
        <w:t>1‒3</w:t>
      </w:r>
      <w:r>
        <w:t xml:space="preserve"> </w:t>
      </w:r>
      <w:r w:rsidRPr="00E7486F">
        <w:t>oraz zmianie brzmienia ust.</w:t>
      </w:r>
      <w:r>
        <w:t> </w:t>
      </w:r>
      <w:r w:rsidRPr="00E7486F">
        <w:t>5.</w:t>
      </w:r>
    </w:p>
    <w:p w14:paraId="164D6A62" w14:textId="77777777" w:rsidR="002F3867" w:rsidRPr="00E7486F" w:rsidRDefault="002F3867" w:rsidP="002F3867">
      <w:pPr>
        <w:pStyle w:val="ARTartustawynprozporzdzenia"/>
      </w:pPr>
      <w:r>
        <w:t>Ust. 1</w:t>
      </w:r>
      <w:r w:rsidRPr="00E7486F">
        <w:t xml:space="preserve">‒3 </w:t>
      </w:r>
      <w:r>
        <w:t>dotyczą tej samej materii co</w:t>
      </w:r>
      <w:r w:rsidRPr="00E7486F">
        <w:t xml:space="preserve"> regulacj</w:t>
      </w:r>
      <w:r>
        <w:t>e</w:t>
      </w:r>
      <w:r w:rsidRPr="00E7486F">
        <w:t xml:space="preserve"> konstytucyjn</w:t>
      </w:r>
      <w:r>
        <w:t>e</w:t>
      </w:r>
      <w:r w:rsidRPr="00E7486F">
        <w:t>, zawart</w:t>
      </w:r>
      <w:r>
        <w:t>e</w:t>
      </w:r>
      <w:r w:rsidRPr="00E7486F">
        <w:t xml:space="preserve"> w art.</w:t>
      </w:r>
      <w:r>
        <w:t xml:space="preserve"> </w:t>
      </w:r>
      <w:r w:rsidRPr="00E7486F">
        <w:t>104 ust. 2 i</w:t>
      </w:r>
      <w:r>
        <w:t> </w:t>
      </w:r>
      <w:r w:rsidRPr="00E7486F">
        <w:t xml:space="preserve">3. W związku zasadą nadrzędności Konstytucji (art. 8 ust. 1 Konstytucji) oraz zasadą bezpośredniego stosowania Konstytucji (art. 8 ust. 2 Konstytucji) nie ulega wątpliwości, że regulacje ustawowe są całkowicie zbędne, a posłowie i senatorowie powinni składać ślubowanie według roty ustalonej w Konstytucji. Ponadto art. 2 ust. 1 regulaminu Sejmu stanowi wprost, że „[p]osłowie na pierwszym posiedzeniu Sejmu składają ślubowanie według roty ustalonej w Konstytucji.”. </w:t>
      </w:r>
    </w:p>
    <w:p w14:paraId="32F6FF3A" w14:textId="77777777" w:rsidR="002F3867" w:rsidRPr="00E7486F" w:rsidRDefault="002F3867" w:rsidP="002F3867">
      <w:pPr>
        <w:pStyle w:val="ARTartustawynprozporzdzenia"/>
      </w:pPr>
      <w:r>
        <w:t>P</w:t>
      </w:r>
      <w:r w:rsidRPr="00E7486F">
        <w:t xml:space="preserve">rzepisy Konstytucji są wyżej w hierarchii źródeł prawa, a przepisy rangi ustawowej powinny być zgodne z regulacjami konstytucyjnymi. Ustawodawca nie powinien jednak powtarzać przepisów Konstytucji w ustawie. Przedstawiciele doktryny nie mają wątpliwości, że „(…) powtarzanie konstytucyjnej regulacji w ustawach nie tylko nie ma sensu, ale jest wręcz szkodliwe, gdyż utrudnia ustalenie rangi normy prawnej odczytywanej </w:t>
      </w:r>
      <w:r>
        <w:t xml:space="preserve">z </w:t>
      </w:r>
      <w:r w:rsidRPr="00E7486F">
        <w:t>aktów prawnych o różnej mocy prawnej (…)”</w:t>
      </w:r>
      <w:r w:rsidRPr="00E7486F">
        <w:rPr>
          <w:rStyle w:val="IGindeksgrny"/>
        </w:rPr>
        <w:footnoteReference w:id="1"/>
      </w:r>
      <w:r w:rsidRPr="00E7486F">
        <w:rPr>
          <w:rStyle w:val="IGindeksgrny"/>
        </w:rPr>
        <w:t>)</w:t>
      </w:r>
      <w:r w:rsidRPr="00E7486F">
        <w:t>. Ponadto może prowadzić do trudności z dekodowaniem rzeczywistej treści normy prawnej zawartej w tych przepisach.</w:t>
      </w:r>
    </w:p>
    <w:p w14:paraId="48AA34CD" w14:textId="77777777" w:rsidR="002F3867" w:rsidRDefault="002F3867" w:rsidP="002F3867">
      <w:pPr>
        <w:pStyle w:val="ARTartustawynprozporzdzenia"/>
        <w:tabs>
          <w:tab w:val="left" w:pos="5625"/>
        </w:tabs>
        <w:rPr>
          <w:rStyle w:val="Ppogrubienie"/>
        </w:rPr>
      </w:pPr>
    </w:p>
    <w:p w14:paraId="44B8896B" w14:textId="77777777" w:rsidR="002F3867" w:rsidRPr="001C4E2F" w:rsidRDefault="002F3867" w:rsidP="002F3867">
      <w:pPr>
        <w:pStyle w:val="ARTartustawynprozporzdzenia"/>
        <w:tabs>
          <w:tab w:val="left" w:pos="5625"/>
        </w:tabs>
        <w:rPr>
          <w:rStyle w:val="Ppogrubienie"/>
        </w:rPr>
      </w:pPr>
      <w:r w:rsidRPr="001C4E2F">
        <w:rPr>
          <w:rStyle w:val="Ppogrubienie"/>
        </w:rPr>
        <w:t>2.2.</w:t>
      </w:r>
      <w:r>
        <w:rPr>
          <w:rStyle w:val="Ppogrubienie"/>
        </w:rPr>
        <w:t> </w:t>
      </w:r>
      <w:r w:rsidRPr="001C4E2F">
        <w:rPr>
          <w:rStyle w:val="Ppogrubienie"/>
        </w:rPr>
        <w:t xml:space="preserve">Odprawy rentowe i emerytalne </w:t>
      </w:r>
    </w:p>
    <w:p w14:paraId="767CABC1" w14:textId="77777777" w:rsidR="002F3867" w:rsidRDefault="002F3867" w:rsidP="002F3867">
      <w:pPr>
        <w:pStyle w:val="ARTartustawynprozporzdzenia"/>
        <w:tabs>
          <w:tab w:val="left" w:pos="5625"/>
        </w:tabs>
      </w:pPr>
      <w:r>
        <w:t xml:space="preserve">Art. 18 ustawy o wykonywaniu mandatu stanowi podstawę funkcjonowania biur klubów i kół. Ustawa wskazuje, że klubom i kołom przysługują środki finansowe na realizację działalności, a także na funkcjonowanie biur klubów i kół, stanowiących zaplecze klubów </w:t>
      </w:r>
      <w:r>
        <w:lastRenderedPageBreak/>
        <w:t>i wspomagających je w bieżących działaniach, przesądzając, że środki te pochodzą budżetów Kancelarii Sejmu i Kancelarii Senatu.</w:t>
      </w:r>
    </w:p>
    <w:p w14:paraId="27D5FBCF" w14:textId="77777777" w:rsidR="002F3867" w:rsidRPr="0067586C" w:rsidRDefault="002F3867" w:rsidP="002F3867">
      <w:pPr>
        <w:pStyle w:val="NIEARTTEKSTtekstnieartykuowanynppodstprawnarozplubpreambua"/>
      </w:pPr>
      <w:r>
        <w:t>W myśl art. 5 Kodeksu pracy, którego postanowienia regulują sytuację prawną pracowników biur, „[j]</w:t>
      </w:r>
      <w:r w:rsidRPr="00271311">
        <w:t>eżeli stosunek pracy określonej kategorii pracowników regulują przepisy szczególne, przepisy kodeksu stosuje się w zakresie nieuregulowanym tymi przepisami</w:t>
      </w:r>
      <w:r>
        <w:t xml:space="preserve">”. Zgodnie z zasadą </w:t>
      </w:r>
      <w:r>
        <w:rPr>
          <w:rStyle w:val="Kkursywa"/>
        </w:rPr>
        <w:t xml:space="preserve">lex specialis derogat legi generali, </w:t>
      </w:r>
      <w:r>
        <w:t xml:space="preserve">przepisy ustawy o wykonywaniu mandatu mają zatem pierwszeństwo przed przepisami Kodeksu pracy. Ustawa o wykonywaniu mandatu stanowi </w:t>
      </w:r>
      <w:r>
        <w:rPr>
          <w:rFonts w:cs="Times"/>
        </w:rPr>
        <w:t>‒</w:t>
      </w:r>
      <w:r>
        <w:t xml:space="preserve"> w odniesieniu do pracowników biur poselskich, senatorskich, poselsko-senatorskich oraz biur klubów i kół </w:t>
      </w:r>
      <w:r>
        <w:rPr>
          <w:rFonts w:cs="Times"/>
        </w:rPr>
        <w:t>‒</w:t>
      </w:r>
      <w:r>
        <w:t xml:space="preserve"> pragmatykę pracowniczą. </w:t>
      </w:r>
    </w:p>
    <w:p w14:paraId="5729EEDE" w14:textId="77777777" w:rsidR="002F3867" w:rsidRDefault="002F3867" w:rsidP="002F3867">
      <w:pPr>
        <w:pStyle w:val="NIEARTTEKSTtekstnieartykuowanynppodstprawnarozplubpreambua"/>
      </w:pPr>
      <w:r>
        <w:t xml:space="preserve">Zgodnie z </w:t>
      </w:r>
      <w:r w:rsidRPr="006960FC">
        <w:t xml:space="preserve">art. 18 </w:t>
      </w:r>
      <w:r>
        <w:t>ust. 5</w:t>
      </w:r>
      <w:r>
        <w:rPr>
          <w:rFonts w:cs="Times"/>
        </w:rPr>
        <w:t>‒</w:t>
      </w:r>
      <w:r>
        <w:t xml:space="preserve">7 ustawy o wykonywaniu mandatu, świadczeniami dodatkowymi, jakie przysługują pracownikom na podstawie ustawy, są: dodatkowe wynagrodzenie roczne (ust. 5), nagroda za wieloletnią pracę (ust. 6) oraz odprawa w związku z zakończeniem kadencji (ust. 7). </w:t>
      </w:r>
      <w:r w:rsidRPr="006960FC">
        <w:t xml:space="preserve">Środki na wydatki związane z wypłatą dla pracowników biur dodatkowego wynagrodzenia rocznego, nagród jubileuszowych oraz odpraw w związku z zakończeniem kadencji Sejmu i Senatu zapewnia się </w:t>
      </w:r>
      <w:r>
        <w:rPr>
          <w:rFonts w:cs="Times"/>
        </w:rPr>
        <w:t>‒</w:t>
      </w:r>
      <w:r>
        <w:t xml:space="preserve"> stosownie do ust. 9 </w:t>
      </w:r>
      <w:r>
        <w:rPr>
          <w:rFonts w:cs="Times"/>
        </w:rPr>
        <w:t>‒</w:t>
      </w:r>
      <w:r>
        <w:t xml:space="preserve"> </w:t>
      </w:r>
      <w:r w:rsidRPr="006960FC">
        <w:t>w budżetach Kancelarii Sejmu i</w:t>
      </w:r>
      <w:r>
        <w:t> </w:t>
      </w:r>
      <w:r w:rsidRPr="006960FC">
        <w:t xml:space="preserve">Kancelarii Senatu. </w:t>
      </w:r>
    </w:p>
    <w:p w14:paraId="7EBD9D1A" w14:textId="77777777" w:rsidR="002F3867" w:rsidRDefault="002F3867" w:rsidP="002F3867">
      <w:pPr>
        <w:pStyle w:val="ARTartustawynprozporzdzenia"/>
        <w:tabs>
          <w:tab w:val="left" w:pos="5625"/>
        </w:tabs>
      </w:pPr>
      <w:r>
        <w:t>Zaznaczyć należy, że pracownikom biur przysługują wszystkie elementy o charakterze powszechnym wynagrodzenia przewidywane przez Kodeks pracy</w:t>
      </w:r>
      <w:r>
        <w:rPr>
          <w:rStyle w:val="Odwoanieprzypisudolnego"/>
        </w:rPr>
        <w:footnoteReference w:id="2"/>
      </w:r>
      <w:r w:rsidRPr="00E90447">
        <w:rPr>
          <w:rStyle w:val="IGindeksgrny"/>
        </w:rPr>
        <w:t>)</w:t>
      </w:r>
      <w:r>
        <w:t xml:space="preserve">. Nieuwzględnienie w tych przepisach wypłaty odpraw rentowych lub emerytalnych pracowników biur oznacza, że do tej kategorii pracowników stosuje się zasady ogólne. Podstawą do wypłacenia takiej odprawy będzie zatem </w:t>
      </w:r>
      <w:r w:rsidRPr="00A602AB">
        <w:t>art.</w:t>
      </w:r>
      <w:r>
        <w:t> </w:t>
      </w:r>
      <w:r w:rsidRPr="00D0005E">
        <w:t>92</w:t>
      </w:r>
      <w:r>
        <w:rPr>
          <w:rStyle w:val="IGindeksgrny"/>
        </w:rPr>
        <w:t>[</w:t>
      </w:r>
      <w:r w:rsidRPr="00D0005E">
        <w:rPr>
          <w:rStyle w:val="IGindeksgrny"/>
        </w:rPr>
        <w:t>1</w:t>
      </w:r>
      <w:r>
        <w:rPr>
          <w:rStyle w:val="IGindeksgrny"/>
        </w:rPr>
        <w:t>]</w:t>
      </w:r>
      <w:r w:rsidRPr="00A602AB">
        <w:t xml:space="preserve"> </w:t>
      </w:r>
      <w:r>
        <w:t>§ 1 Kodeksu pracy, przepis ten nie określa jednak źródeł finansowania tych odpraw. Mając na względzie zasadę określoności prawa, a także biorąc pod uwagę dobro pracowników biur, proponuje się zmianę brzmienia ust. 9 polegającą na dodaniu odpraw rentowych i emerytalnych do katalogu świadczeń, na których realizację środki przeznaczane są z budżetów odpowiednio Kancelarii Sejmu i Kancelarii Senatu. W ocenie projektodawców taka zmiana wyeliminuje problemy związane ze stosowaniem tego przepisu w jego dotychczasowym brzmieniu.</w:t>
      </w:r>
    </w:p>
    <w:p w14:paraId="4B40E236" w14:textId="77777777" w:rsidR="002F3867" w:rsidRDefault="002F3867" w:rsidP="002F3867">
      <w:pPr>
        <w:pStyle w:val="ARTartustawynprozporzdzenia"/>
      </w:pPr>
      <w:r>
        <w:t>Tożsame zmiany proponuje się również w odniesieniu do analogicznego art. 23 ust. 9, odnoszącego się do pracowników biur poselskich, senatorskich lub poselsko-senatorskich.</w:t>
      </w:r>
    </w:p>
    <w:p w14:paraId="1332FD86" w14:textId="77777777" w:rsidR="002F3867" w:rsidRPr="002739EB" w:rsidRDefault="002F3867" w:rsidP="002F3867">
      <w:pPr>
        <w:pStyle w:val="ARTartustawynprozporzdzenia"/>
        <w:rPr>
          <w:rStyle w:val="Ppogrubienie"/>
        </w:rPr>
      </w:pPr>
      <w:r w:rsidRPr="002739EB">
        <w:rPr>
          <w:rStyle w:val="Ppogrubienie"/>
        </w:rPr>
        <w:lastRenderedPageBreak/>
        <w:t>2.3.</w:t>
      </w:r>
      <w:r>
        <w:rPr>
          <w:rStyle w:val="Ppogrubienie"/>
        </w:rPr>
        <w:t> </w:t>
      </w:r>
      <w:r w:rsidRPr="002739EB">
        <w:rPr>
          <w:rStyle w:val="Ppogrubienie"/>
        </w:rPr>
        <w:t>Zmiany w Rejestrze Korzyści</w:t>
      </w:r>
    </w:p>
    <w:p w14:paraId="2634B13B" w14:textId="77777777" w:rsidR="002F3867" w:rsidRDefault="002F3867" w:rsidP="002F3867">
      <w:pPr>
        <w:pStyle w:val="ARTartustawynprozporzdzenia"/>
      </w:pPr>
      <w:r>
        <w:t xml:space="preserve">Projektodawcy uważają za konieczne dokonanie zmian w przepisach regulujących zasady zgłaszania do Rejestru Korzyści informacji, w ślad za analogicznymi zmianami dokonanymi w przepisach </w:t>
      </w:r>
      <w:r w:rsidRPr="00495EF1">
        <w:t>ustawy z dnia 21 sierpnia 1997 r. o ograniczeniu prowadzenia działalności gospodarczej przez osoby pełniące funkcje publiczne</w:t>
      </w:r>
      <w:r>
        <w:t xml:space="preserve">. Art. 12 ust. 7 tej ustawy obejmuje obowiązkiem ujawniania danych w Rejestrze: </w:t>
      </w:r>
      <w:r w:rsidRPr="0056332A">
        <w:t>członków Rady Ministrów, sekretarzy i</w:t>
      </w:r>
      <w:r>
        <w:t> </w:t>
      </w:r>
      <w:r w:rsidRPr="0056332A">
        <w:t>podsekretarzy stanu w ministerstwach i Kancelarii Prezesa Rady Ministrów, kierowników urzędów centralnych, wojewodów, wicewojewodów, członków zarządów województw, sekretarzy województw, skarbników województw, członków zarządów powiatów, sekretarzy powiatów, skarbników powiatów, wójtów (burmistrzów, prezydentów miast), zastępców wójtów, sekretarzy gmin, skarbników gmin, członków zarządu związku metropolitalnego, sekretarza związku metropolitalnego i skarbnika związku metropolitalnego</w:t>
      </w:r>
      <w:r>
        <w:t xml:space="preserve">. Każda osoba sprawująca taki urząd czy pełniąca taką funkcję zgłasza do Rejestru, w myśl ust. 3 pkt 3 wspomnianego wyżej artykułu, informację o otrzymaniu darowizny </w:t>
      </w:r>
      <w:r w:rsidRPr="0056332A">
        <w:t>od podmiotów krajowych lub zagranicznych, jeżeli jej wartość przekracza kwotę 25% minimalnego wynagrodzenia za pracę ustalonego na podstawie przepisów ustawy z dnia 10 października 2002 r. o minimalnym wynagrodzeniu za pracę</w:t>
      </w:r>
      <w:r>
        <w:t xml:space="preserve">. Przepis art. 35a ust. 3 pkt 3 ustawy o wykonywaniu mandatu nakłada natomiast na posłów i senatorów obowiązek zgłaszania do Rejestru otrzymania darowizny od podmiotów krajowych lub zagranicznych, jeżeli jej wartość przekracza </w:t>
      </w:r>
      <w:r w:rsidRPr="006A069B">
        <w:t>50% najniższego wynagrodzenia pracowników za pracę, obowiązującego w grudniu roku poprzedzającego, określonego przez Ministra Pracy i Polityki Socjalnej na podstawie Kodeksu pracy</w:t>
      </w:r>
      <w:r>
        <w:t xml:space="preserve">. To brzmienie odpowiada brzmieniu art. 12 ust. 3 pkt 3 ustawy </w:t>
      </w:r>
      <w:bookmarkStart w:id="0" w:name="_Hlk227836694"/>
      <w:r>
        <w:t xml:space="preserve">o ograniczeniu </w:t>
      </w:r>
      <w:bookmarkStart w:id="1" w:name="_Hlk227836571"/>
      <w:r>
        <w:t xml:space="preserve">prowadzenia działalności </w:t>
      </w:r>
      <w:r w:rsidRPr="0056332A">
        <w:t>gospodar</w:t>
      </w:r>
      <w:r>
        <w:t>c</w:t>
      </w:r>
      <w:r w:rsidRPr="0056332A">
        <w:t>zej przez osoby pełniące funkcje publiczne</w:t>
      </w:r>
      <w:r>
        <w:t xml:space="preserve"> </w:t>
      </w:r>
      <w:bookmarkEnd w:id="0"/>
      <w:r>
        <w:t>sprzed nowelizacji</w:t>
      </w:r>
      <w:bookmarkEnd w:id="1"/>
      <w:r>
        <w:rPr>
          <w:rStyle w:val="Odwoanieprzypisudolnego"/>
        </w:rPr>
        <w:footnoteReference w:id="3"/>
      </w:r>
      <w:r>
        <w:rPr>
          <w:rStyle w:val="IGindeksgrny"/>
        </w:rPr>
        <w:t>)</w:t>
      </w:r>
      <w:r>
        <w:t xml:space="preserve">, która weszła w życie 27 lutego 2026 r. </w:t>
      </w:r>
    </w:p>
    <w:p w14:paraId="4E7FFD13" w14:textId="77777777" w:rsidR="002F3867" w:rsidRDefault="002F3867" w:rsidP="002F3867">
      <w:pPr>
        <w:pStyle w:val="ARTartustawynprozporzdzenia"/>
      </w:pPr>
      <w:r>
        <w:t xml:space="preserve">Proponuje się, aby </w:t>
      </w:r>
      <w:r>
        <w:rPr>
          <w:rFonts w:cs="Times"/>
        </w:rPr>
        <w:t>‒</w:t>
      </w:r>
      <w:r>
        <w:t xml:space="preserve"> analogicznie do ustawy </w:t>
      </w:r>
      <w:r w:rsidRPr="006A069B">
        <w:t>o ograniczeniu prowadzenia działalności gospodarczej przez osoby pełniące funkcje publiczne</w:t>
      </w:r>
      <w:r>
        <w:t xml:space="preserve"> </w:t>
      </w:r>
      <w:r>
        <w:rPr>
          <w:rFonts w:cs="Times"/>
        </w:rPr>
        <w:t>‒</w:t>
      </w:r>
      <w:r>
        <w:t xml:space="preserve"> dokonać zmiany w ustawie o wykonywaniu mandatu dotyczącej określenia wysokości progu wartości darowizny, o której otrzymaniu informuje się Rejestr. Należy wziąć pod uwagę, że aktualne brzmienie art. 35a ust. 3 pkt 3 nowelizowanej ustawy </w:t>
      </w:r>
      <w:r w:rsidRPr="00495EF1">
        <w:t xml:space="preserve">odsyła do normy, która została już uchylona, oraz do </w:t>
      </w:r>
      <w:r>
        <w:t xml:space="preserve">pojęcia </w:t>
      </w:r>
      <w:r w:rsidRPr="00495EF1">
        <w:lastRenderedPageBreak/>
        <w:t xml:space="preserve">najniższego wynagrodzenia pracowników, które jest </w:t>
      </w:r>
      <w:r>
        <w:t>sukcesywnie</w:t>
      </w:r>
      <w:r w:rsidRPr="00495EF1">
        <w:t xml:space="preserve"> eliminowane z </w:t>
      </w:r>
      <w:r>
        <w:t xml:space="preserve">systemu prawnego. </w:t>
      </w:r>
    </w:p>
    <w:p w14:paraId="1F1C972C" w14:textId="77777777" w:rsidR="002F3867" w:rsidRDefault="002F3867" w:rsidP="002F3867">
      <w:pPr>
        <w:pStyle w:val="ARTartustawynprozporzdzenia"/>
      </w:pPr>
      <w:r>
        <w:t>M</w:t>
      </w:r>
      <w:r w:rsidRPr="00434A95">
        <w:t>inimalne wynagrodzenie na przestrzeni lat 2003–202</w:t>
      </w:r>
      <w:r>
        <w:t>6</w:t>
      </w:r>
      <w:r w:rsidRPr="00434A95">
        <w:t xml:space="preserve"> wzrosło od kwoty 800 zł do kwoty 4</w:t>
      </w:r>
      <w:r>
        <w:t>806 </w:t>
      </w:r>
      <w:r w:rsidRPr="00434A95">
        <w:t>zł</w:t>
      </w:r>
      <w:r>
        <w:rPr>
          <w:rStyle w:val="Odwoanieprzypisudolnego"/>
        </w:rPr>
        <w:footnoteReference w:id="4"/>
      </w:r>
      <w:r>
        <w:rPr>
          <w:rStyle w:val="IGindeksgrny"/>
        </w:rPr>
        <w:t>)</w:t>
      </w:r>
      <w:r>
        <w:t>, zaś n</w:t>
      </w:r>
      <w:r w:rsidRPr="00434A95">
        <w:t>ajniższe wynagrodzeni</w:t>
      </w:r>
      <w:r>
        <w:t>e</w:t>
      </w:r>
      <w:r w:rsidRPr="00434A95">
        <w:t xml:space="preserve"> oznacza niezmiennie kwotę 760</w:t>
      </w:r>
      <w:r>
        <w:t xml:space="preserve"> </w:t>
      </w:r>
      <w:r w:rsidRPr="00434A95">
        <w:t xml:space="preserve">zł. </w:t>
      </w:r>
      <w:r>
        <w:t>W rezultacie od 2003 r. d</w:t>
      </w:r>
      <w:r w:rsidRPr="00434A95">
        <w:t xml:space="preserve">o </w:t>
      </w:r>
      <w:r>
        <w:t>R</w:t>
      </w:r>
      <w:r w:rsidRPr="00434A95">
        <w:t xml:space="preserve">ejestru </w:t>
      </w:r>
      <w:r>
        <w:t>zgłaszano</w:t>
      </w:r>
      <w:r w:rsidRPr="00434A95">
        <w:t xml:space="preserve"> darowizny o wartości przekraczającej kwotę 380</w:t>
      </w:r>
      <w:r>
        <w:t> </w:t>
      </w:r>
      <w:r w:rsidRPr="00434A95">
        <w:t xml:space="preserve">zł. </w:t>
      </w:r>
      <w:r>
        <w:t>Projektodawcy zwracają uwagę na istotną zmianę w wartości pieniądza między latami 2003 i 2026, w związku z czym uznają za niezbędne u</w:t>
      </w:r>
      <w:r w:rsidRPr="00434A95">
        <w:t>realnienie wartości ekonomicznej progu</w:t>
      </w:r>
      <w:r>
        <w:t xml:space="preserve"> i takie sformułowanie nowego brzmienia przepisu, które zapewni </w:t>
      </w:r>
      <w:r w:rsidRPr="00434A95">
        <w:t>automatyczn</w:t>
      </w:r>
      <w:r>
        <w:t>ą</w:t>
      </w:r>
      <w:r w:rsidRPr="00434A95">
        <w:t xml:space="preserve"> waloryzacj</w:t>
      </w:r>
      <w:r>
        <w:t>ę</w:t>
      </w:r>
      <w:r w:rsidRPr="00434A95">
        <w:t xml:space="preserve"> tego progu </w:t>
      </w:r>
      <w:r>
        <w:t>wraz ze</w:t>
      </w:r>
      <w:r w:rsidRPr="00434A95">
        <w:t xml:space="preserve"> wzrost</w:t>
      </w:r>
      <w:r>
        <w:t>em</w:t>
      </w:r>
      <w:r w:rsidRPr="00434A95">
        <w:t xml:space="preserve"> minimalnego wynagrodzenia.</w:t>
      </w:r>
      <w:r>
        <w:t xml:space="preserve"> Konsekwencją takiej zmiany będzie wzrost wartości, powyżej której darowizna objęta jest obowiązkiem zgłoszenia do Rejestru, z 380 zł do 1201 zł 50 gr (w chwili złożenia projektu). </w:t>
      </w:r>
    </w:p>
    <w:p w14:paraId="26E04196" w14:textId="77777777" w:rsidR="002F3867" w:rsidRDefault="002F3867" w:rsidP="002F3867">
      <w:pPr>
        <w:pStyle w:val="ARTartustawynprozporzdzenia"/>
      </w:pPr>
      <w:r>
        <w:t>Ponadto proponuje się odejście od dotychczasowego obowiązku podawania do publicznej wiadomości danych z Rejestru raz w roku na rzecz zobowiązania Marszałka Sejmu oraz Marszałka Senatu do bieżącego podawania tych danych w formie zapisu elektronicznego i ich udostępniania zarówno w okresie wykonywania mandatu, jak i w okresie 6 lat po zakończeniu wykonywania mandatu. W ocenie autorów projektu zmiana jest konieczna w związku z postępem, jaki dokonał się w zakresie cyfryzacji, a także zmianą sposobu myślenia o dostępie do informacji publicznej.</w:t>
      </w:r>
    </w:p>
    <w:p w14:paraId="0440DFBA" w14:textId="77777777" w:rsidR="002F3867" w:rsidRDefault="002F3867" w:rsidP="002F3867">
      <w:pPr>
        <w:pStyle w:val="ARTartustawynprozporzdzenia"/>
      </w:pPr>
    </w:p>
    <w:p w14:paraId="47D399F1" w14:textId="77777777" w:rsidR="002F3867" w:rsidRPr="002739EB" w:rsidRDefault="002F3867" w:rsidP="002F3867">
      <w:pPr>
        <w:pStyle w:val="ARTartustawynprozporzdzenia"/>
        <w:rPr>
          <w:rStyle w:val="Ppogrubienie"/>
        </w:rPr>
      </w:pPr>
      <w:r w:rsidRPr="002739EB">
        <w:rPr>
          <w:rStyle w:val="Ppogrubienie"/>
        </w:rPr>
        <w:t>2.4. </w:t>
      </w:r>
      <w:r>
        <w:rPr>
          <w:rStyle w:val="Ppogrubienie"/>
        </w:rPr>
        <w:t xml:space="preserve">Bezpłatne dostarczanie druków </w:t>
      </w:r>
    </w:p>
    <w:p w14:paraId="1BC5954F" w14:textId="77777777" w:rsidR="002F3867" w:rsidRDefault="002F3867" w:rsidP="002F3867">
      <w:pPr>
        <w:pStyle w:val="ARTartustawynprozporzdzenia"/>
      </w:pPr>
      <w:r>
        <w:t xml:space="preserve">Zgodnie z art. 44 ust. 1 ustawy o wykonywaniu mandatu posłowie i senatorowie otrzymują bezpłatnie druki sejmowe lub senackie. Rodzi to po stronie Kancelarii Sejmu oraz Kancelarii Senatu stosowny obowiązek dostarczania parlamentarzystom odpowiednich druków bez konieczności składania przez posła lub senatora wniosku o dostarczenie takiego druku, jak również bez konieczności uiszczania za druk jakiejkolwiek opłaty. </w:t>
      </w:r>
    </w:p>
    <w:p w14:paraId="05FDBA9D" w14:textId="77777777" w:rsidR="002F3867" w:rsidRDefault="002F3867" w:rsidP="002F3867">
      <w:pPr>
        <w:pStyle w:val="ARTartustawynprozporzdzenia"/>
      </w:pPr>
      <w:r>
        <w:t xml:space="preserve">Wieloletnia praktyka tak Kancelarii Sejmu, jak i Kancelarii Senatu, dostarczania druków w formie papierowej uległa zmianie w związku z wprowadzeniem przez administrację rządową elektronicznych dzienników urzędowych. Od tamtej pory druki przesyłane są w formie elektronicznej, zaś kancelarie wyposażają posłów i senatorów w tablety umożliwiające ich </w:t>
      </w:r>
      <w:r>
        <w:lastRenderedPageBreak/>
        <w:t>odczytywanie. Elektronizacja druków i ich publikacja na stronach internetowych dostępnych dla każdego korzystającego ze środków komunikacji elektronicznej pozwalają na postawienie wniosku, że dalsze utrzymywanie na poziomie ustawowym</w:t>
      </w:r>
      <w:r w:rsidRPr="005610F4">
        <w:t xml:space="preserve"> </w:t>
      </w:r>
      <w:r>
        <w:t>normy zobowiązującej podmioty obsługujące parlamentarzystów do bezpłatnego dostarczania druków wydaje się zbędne. Propozycja zmiany brzmienia art. 44 ust. 3 jest konsekwencją uchylenia ust. 1.</w:t>
      </w:r>
    </w:p>
    <w:p w14:paraId="71ECD460" w14:textId="77777777" w:rsidR="002F3867" w:rsidRDefault="002F3867" w:rsidP="002F3867">
      <w:pPr>
        <w:pStyle w:val="ARTartustawynprozporzdzenia"/>
      </w:pPr>
    </w:p>
    <w:p w14:paraId="259C61AF" w14:textId="77777777" w:rsidR="002F3867" w:rsidRPr="00F80782" w:rsidRDefault="002F3867" w:rsidP="002F3867">
      <w:pPr>
        <w:pStyle w:val="ARTartustawynprozporzdzenia"/>
        <w:rPr>
          <w:rStyle w:val="Ppogrubienie"/>
        </w:rPr>
      </w:pPr>
      <w:r w:rsidRPr="00F80782">
        <w:rPr>
          <w:rStyle w:val="Ppogrubienie"/>
        </w:rPr>
        <w:t>2.5. Zmiany porządkujące</w:t>
      </w:r>
    </w:p>
    <w:p w14:paraId="7B5C4552" w14:textId="77777777" w:rsidR="002F3867" w:rsidRDefault="002F3867" w:rsidP="002F3867">
      <w:pPr>
        <w:pStyle w:val="ARTartustawynprozporzdzenia"/>
      </w:pPr>
      <w:r>
        <w:t xml:space="preserve">Ustrojodawca postanowił, że mandatu posła lub senatora nie można łączyć </w:t>
      </w:r>
      <w:r w:rsidRPr="00F80782">
        <w:t>z</w:t>
      </w:r>
      <w:r>
        <w:t> </w:t>
      </w:r>
      <w:r w:rsidRPr="00F80782">
        <w:t>zatrudnieniem w Kancelarii Sejmu, Kancelarii Senatu, Kancelarii Prezydenta Rzeczypospolitej lub z zatrudnieniem w administracji rządowej</w:t>
      </w:r>
      <w:r>
        <w:t xml:space="preserve"> (przy czym z</w:t>
      </w:r>
      <w:r w:rsidRPr="00F80782">
        <w:t>akaz ten nie dotyczy członków Rady Ministrów i sekretarzy stanu w administracji rządowej</w:t>
      </w:r>
      <w:r>
        <w:t>; art. 103 ust. 1 Konstytucji). Ponadto mandatu poselskiego lub senatorskiego nie może sprawować: s</w:t>
      </w:r>
      <w:r w:rsidRPr="00F80782">
        <w:t>ędzia, prokurator, urzędnik służby cywilnej, żołnierz pozostający w czynnej służbie wojskowej, funkcjonariusz policji oraz funkcjonariusz służb ochrony państwa</w:t>
      </w:r>
      <w:r>
        <w:t xml:space="preserve"> (art. 103 ust. 2 Konstytucji). </w:t>
      </w:r>
    </w:p>
    <w:p w14:paraId="1DDC5753" w14:textId="77777777" w:rsidR="002F3867" w:rsidRPr="00F80782" w:rsidRDefault="002F3867" w:rsidP="002F3867">
      <w:pPr>
        <w:pStyle w:val="ARTartustawynprozporzdzenia"/>
      </w:pPr>
      <w:r>
        <w:t>Zakaz wykonywania pracy na podstawie stosunku pracy w określonych miejscach oraz wykonywania pracy w określonym charakterze, przewidziany w art. 30 ustawy o wykonywaniu mandatu, zawiera powtórzenia pozycji wskazanych w katalogu określonym przez ustrojodawcę w Konstytucji. W związku z tym projektodawcy uznają za stosowne przedłożyć propozycję usunięcia tych pozycji z katalogu określonego w art. 30 nowelizowanej ustawy. Zmiana ta w rezultacie objęłaby: sędziów, prokuratorów, pełniących zawodową służbę wojskową, a także zatrudnienie w Kancelarii Sejmu, Kancelarii Senatu oraz Kancelarii Prezydenta Rzeczypospolitej Polskiej. Ponadto proponowana zmiana usuwa z przepisu wyrażenie „z wyjątkiem stosunku pracy z wyboru”, co wynika z faktu, że stosunki takie (np. wójta czy członka zarządu powiatu) są już objęte bezwzględnymi zakazami wyrażonymi przez ustawodawcę w innych ustawach. Proponowana zmiana czyni zadość dyrektywie wyrażonej w </w:t>
      </w:r>
      <w:r w:rsidRPr="00252CA5">
        <w:t>§</w:t>
      </w:r>
      <w:r>
        <w:t> 4 ust. 1 Zasad techniki prawodawczej, która zakazuje powtarzania w ustawie przepisów zamieszczonych w innych ustawach.</w:t>
      </w:r>
    </w:p>
    <w:p w14:paraId="290EBA6F" w14:textId="77777777" w:rsidR="002F3867" w:rsidRPr="0076506F" w:rsidRDefault="002F3867" w:rsidP="002F3867">
      <w:pPr>
        <w:pStyle w:val="ARTartustawynprozporzdzenia"/>
      </w:pPr>
      <w:r>
        <w:t xml:space="preserve">Projekt ustawy przewiduje standardową, 14-dniową </w:t>
      </w:r>
      <w:r>
        <w:rPr>
          <w:rStyle w:val="Kkursywa"/>
        </w:rPr>
        <w:t>vacatio legis</w:t>
      </w:r>
      <w:r>
        <w:t>.</w:t>
      </w:r>
    </w:p>
    <w:p w14:paraId="3512FF67" w14:textId="77777777" w:rsidR="002F3867" w:rsidRDefault="002F3867" w:rsidP="002F3867"/>
    <w:p w14:paraId="34DCEC68" w14:textId="77777777" w:rsidR="002F3867" w:rsidRDefault="002F3867" w:rsidP="002F3867"/>
    <w:p w14:paraId="1A663164" w14:textId="77777777" w:rsidR="002F3867" w:rsidRDefault="002F3867" w:rsidP="002F3867"/>
    <w:p w14:paraId="5D819A79" w14:textId="77777777" w:rsidR="002F3867" w:rsidRPr="00891C82" w:rsidRDefault="002F3867" w:rsidP="002F3867"/>
    <w:p w14:paraId="5010094B" w14:textId="77777777" w:rsidR="002F3867" w:rsidRPr="00466976" w:rsidRDefault="002F3867" w:rsidP="002F3867">
      <w:pPr>
        <w:pStyle w:val="PKTpunkt"/>
        <w:rPr>
          <w:rStyle w:val="Ppogrubienie"/>
        </w:rPr>
      </w:pPr>
      <w:r w:rsidRPr="00466976">
        <w:rPr>
          <w:rStyle w:val="Ppogrubienie"/>
        </w:rPr>
        <w:lastRenderedPageBreak/>
        <w:t>3.</w:t>
      </w:r>
      <w:r w:rsidRPr="00466976">
        <w:rPr>
          <w:rStyle w:val="Ppogrubienie"/>
        </w:rPr>
        <w:tab/>
        <w:t>Konsultacje</w:t>
      </w:r>
    </w:p>
    <w:p w14:paraId="12416D52" w14:textId="77777777" w:rsidR="002F3867" w:rsidRPr="00466976" w:rsidRDefault="002F3867" w:rsidP="002F3867">
      <w:pPr>
        <w:pStyle w:val="NIEARTTEKSTtekstnieartykuowanynppodstprawnarozplubpreambua"/>
      </w:pPr>
      <w:r w:rsidRPr="00466976">
        <w:t>Nadesłane w ramach konsultacji opinie i uwagi zosta</w:t>
      </w:r>
      <w:r>
        <w:t>ły</w:t>
      </w:r>
      <w:r w:rsidRPr="00466976">
        <w:t xml:space="preserve"> zamieszczone na senackiej stronie internetowej. Oczekiwane skutki społeczne, gospodarcze i finansowe oraz wyniki konsultacji </w:t>
      </w:r>
      <w:r>
        <w:t>zostały przedstawione</w:t>
      </w:r>
      <w:r w:rsidRPr="00466976">
        <w:t xml:space="preserve"> w </w:t>
      </w:r>
      <w:r>
        <w:t>ocenie s</w:t>
      </w:r>
      <w:r w:rsidRPr="00466976">
        <w:t xml:space="preserve">kutków </w:t>
      </w:r>
      <w:r>
        <w:t>r</w:t>
      </w:r>
      <w:r w:rsidRPr="00466976">
        <w:t>egulacji.</w:t>
      </w:r>
    </w:p>
    <w:p w14:paraId="730BABEB" w14:textId="77777777" w:rsidR="002F3867" w:rsidRDefault="002F3867" w:rsidP="002F3867"/>
    <w:p w14:paraId="21CF3B01" w14:textId="77777777" w:rsidR="002F3867" w:rsidRPr="00466976" w:rsidRDefault="002F3867" w:rsidP="002F3867">
      <w:pPr>
        <w:pStyle w:val="PKTpunkt"/>
        <w:rPr>
          <w:rStyle w:val="Ppogrubienie"/>
        </w:rPr>
      </w:pPr>
      <w:r w:rsidRPr="00466976">
        <w:rPr>
          <w:rStyle w:val="Ppogrubienie"/>
        </w:rPr>
        <w:t>4.</w:t>
      </w:r>
      <w:r w:rsidRPr="00466976">
        <w:rPr>
          <w:rStyle w:val="Ppogrubienie"/>
        </w:rPr>
        <w:tab/>
        <w:t>Oświadczenie o zgodności z prawem Unii Europejskiej</w:t>
      </w:r>
    </w:p>
    <w:p w14:paraId="261746BE" w14:textId="77777777" w:rsidR="002F3867" w:rsidRPr="003715D9" w:rsidRDefault="002F3867" w:rsidP="002F3867">
      <w:pPr>
        <w:pStyle w:val="NIEARTTEKSTtekstnieartykuowanynppodstprawnarozplubpreambua"/>
      </w:pPr>
      <w:r w:rsidRPr="00466976">
        <w:t>P</w:t>
      </w:r>
      <w:r>
        <w:t>rzedmiot p</w:t>
      </w:r>
      <w:r w:rsidRPr="00466976">
        <w:t>rojekt</w:t>
      </w:r>
      <w:r>
        <w:t>owanej</w:t>
      </w:r>
      <w:r w:rsidRPr="00466976">
        <w:t xml:space="preserve"> ustawy </w:t>
      </w:r>
      <w:r>
        <w:t>nie jest objęty</w:t>
      </w:r>
      <w:r w:rsidRPr="00466976">
        <w:t xml:space="preserve"> prawem Unii Europejskiej.</w:t>
      </w:r>
    </w:p>
    <w:p w14:paraId="0F331C37" w14:textId="4E409D0F" w:rsidR="002F3867" w:rsidRPr="004810D7" w:rsidRDefault="002F3867" w:rsidP="002F3867">
      <w:pPr>
        <w:pStyle w:val="ARTartustawynprozporzdzenia"/>
      </w:pPr>
    </w:p>
    <w:p w14:paraId="0A159AAF" w14:textId="16DFE304" w:rsidR="00265BDE" w:rsidRPr="00E43AD7" w:rsidRDefault="00265BDE" w:rsidP="00E9643A">
      <w:pPr>
        <w:widowControl/>
        <w:tabs>
          <w:tab w:val="center" w:pos="6237"/>
        </w:tabs>
        <w:autoSpaceDE/>
        <w:adjustRightInd/>
        <w:spacing w:line="240" w:lineRule="auto"/>
        <w:ind w:right="-2"/>
      </w:pPr>
    </w:p>
    <w:sectPr w:rsidR="00265BDE" w:rsidRPr="00E43AD7" w:rsidSect="002F3867">
      <w:footnotePr>
        <w:numRestart w:val="eachSect"/>
      </w:footnotePr>
      <w:pgSz w:w="11906" w:h="16838"/>
      <w:pgMar w:top="1560" w:right="1434" w:bottom="1560" w:left="1418" w:header="709" w:footer="709" w:gutter="0"/>
      <w:pgNumType w:start="1"/>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36838" w14:textId="77777777" w:rsidR="00093EF3" w:rsidRDefault="00093EF3" w:rsidP="002B324C">
      <w:pPr>
        <w:spacing w:line="240" w:lineRule="auto"/>
      </w:pPr>
      <w:r>
        <w:separator/>
      </w:r>
    </w:p>
  </w:endnote>
  <w:endnote w:type="continuationSeparator" w:id="0">
    <w:p w14:paraId="1025E335" w14:textId="77777777" w:rsidR="00093EF3" w:rsidRDefault="00093EF3" w:rsidP="002B3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3883" w14:textId="77777777" w:rsidR="00093EF3" w:rsidRDefault="00093EF3" w:rsidP="002B324C">
      <w:pPr>
        <w:spacing w:line="240" w:lineRule="auto"/>
      </w:pPr>
      <w:r>
        <w:separator/>
      </w:r>
    </w:p>
  </w:footnote>
  <w:footnote w:type="continuationSeparator" w:id="0">
    <w:p w14:paraId="0D2C6059" w14:textId="77777777" w:rsidR="00093EF3" w:rsidRDefault="00093EF3" w:rsidP="002B324C">
      <w:pPr>
        <w:spacing w:line="240" w:lineRule="auto"/>
      </w:pPr>
      <w:r>
        <w:continuationSeparator/>
      </w:r>
    </w:p>
  </w:footnote>
  <w:footnote w:id="1">
    <w:p w14:paraId="6601B565" w14:textId="77777777" w:rsidR="002F3867" w:rsidRPr="00230F1F" w:rsidRDefault="002F3867" w:rsidP="002F3867">
      <w:pPr>
        <w:pStyle w:val="ODNONIKtreodnonika"/>
      </w:pPr>
      <w:r w:rsidRPr="00230F1F">
        <w:rPr>
          <w:rStyle w:val="IGindeksgrny"/>
        </w:rPr>
        <w:footnoteRef/>
      </w:r>
      <w:r w:rsidRPr="00230F1F">
        <w:rPr>
          <w:rStyle w:val="IGindeksgrny"/>
        </w:rPr>
        <w:t>)</w:t>
      </w:r>
      <w:r>
        <w:tab/>
        <w:t xml:space="preserve">K. Grajewski, Komentarz do art. 2 [w:] K. Grajewski, J. Szmit, P. Uziębło, </w:t>
      </w:r>
      <w:r>
        <w:rPr>
          <w:rStyle w:val="Kkursywa"/>
        </w:rPr>
        <w:t xml:space="preserve">Komentarz do ustawy o wykonywaniu mandatu posła i senatora, </w:t>
      </w:r>
      <w:r w:rsidRPr="00230F1F">
        <w:t>Wyd.</w:t>
      </w:r>
      <w:r>
        <w:t> </w:t>
      </w:r>
      <w:r w:rsidRPr="00230F1F">
        <w:t>2, Wydawnictwo Sejmowe, Warszawa</w:t>
      </w:r>
      <w:r>
        <w:t> </w:t>
      </w:r>
      <w:r w:rsidRPr="00230F1F">
        <w:t>2023</w:t>
      </w:r>
      <w:r>
        <w:t>, s. 30.</w:t>
      </w:r>
    </w:p>
  </w:footnote>
  <w:footnote w:id="2">
    <w:p w14:paraId="6A98E3BE" w14:textId="77777777" w:rsidR="002F3867" w:rsidRDefault="002F3867" w:rsidP="002F3867">
      <w:pPr>
        <w:pStyle w:val="ODNONIKtreodnonika"/>
      </w:pPr>
      <w:r>
        <w:rPr>
          <w:rStyle w:val="Odwoanieprzypisudolnego"/>
        </w:rPr>
        <w:footnoteRef/>
      </w:r>
      <w:r w:rsidRPr="00E90447">
        <w:rPr>
          <w:rStyle w:val="IGindeksgrny"/>
        </w:rPr>
        <w:t xml:space="preserve">) </w:t>
      </w:r>
      <w:r>
        <w:rPr>
          <w:rStyle w:val="IGindeksgrny"/>
        </w:rPr>
        <w:tab/>
      </w:r>
      <w:r w:rsidRPr="001F6E1B">
        <w:t>J.</w:t>
      </w:r>
      <w:r>
        <w:t> </w:t>
      </w:r>
      <w:r w:rsidRPr="001F6E1B">
        <w:t>Stelina, P.</w:t>
      </w:r>
      <w:r>
        <w:t> </w:t>
      </w:r>
      <w:r w:rsidRPr="001F6E1B">
        <w:t>Uziębło</w:t>
      </w:r>
      <w:r>
        <w:t>, Komentarz do art. 18</w:t>
      </w:r>
      <w:r w:rsidRPr="001F6E1B">
        <w:t xml:space="preserve"> [w:] K.</w:t>
      </w:r>
      <w:r>
        <w:t> </w:t>
      </w:r>
      <w:r w:rsidRPr="001F6E1B">
        <w:t>Grajewski, J.</w:t>
      </w:r>
      <w:r>
        <w:t> Szmit</w:t>
      </w:r>
      <w:r w:rsidRPr="001F6E1B">
        <w:t>, P.</w:t>
      </w:r>
      <w:r>
        <w:t> </w:t>
      </w:r>
      <w:r w:rsidRPr="001F6E1B">
        <w:t xml:space="preserve">Uziębło, </w:t>
      </w:r>
      <w:r w:rsidRPr="00B9471F">
        <w:rPr>
          <w:rStyle w:val="Kkursywa"/>
        </w:rPr>
        <w:t>Komentarz do ustawy o</w:t>
      </w:r>
      <w:r>
        <w:rPr>
          <w:rStyle w:val="Kkursywa"/>
        </w:rPr>
        <w:t> </w:t>
      </w:r>
      <w:r w:rsidRPr="00B9471F">
        <w:rPr>
          <w:rStyle w:val="Kkursywa"/>
        </w:rPr>
        <w:t>wykonywaniu mandatu posła i senatora</w:t>
      </w:r>
      <w:r w:rsidRPr="001F6E1B">
        <w:t xml:space="preserve">, </w:t>
      </w:r>
      <w:r w:rsidRPr="00230F1F">
        <w:t>Wyd.</w:t>
      </w:r>
      <w:r>
        <w:t> </w:t>
      </w:r>
      <w:r w:rsidRPr="00230F1F">
        <w:t>2, Wydawnictwo Sejmowe</w:t>
      </w:r>
      <w:r>
        <w:t>, Warszawa 2023, s. 323.</w:t>
      </w:r>
    </w:p>
  </w:footnote>
  <w:footnote w:id="3">
    <w:p w14:paraId="0665DA20" w14:textId="77777777" w:rsidR="002F3867" w:rsidRDefault="002F3867" w:rsidP="002F3867">
      <w:pPr>
        <w:pStyle w:val="ODNONIKtreodnonika"/>
      </w:pPr>
      <w:r>
        <w:rPr>
          <w:rStyle w:val="Odwoanieprzypisudolnego"/>
        </w:rPr>
        <w:footnoteRef/>
      </w:r>
      <w:r>
        <w:rPr>
          <w:rStyle w:val="IGindeksgrny"/>
        </w:rPr>
        <w:t>)</w:t>
      </w:r>
      <w:r>
        <w:tab/>
        <w:t xml:space="preserve">Ustawa </w:t>
      </w:r>
      <w:r w:rsidRPr="006A069B">
        <w:t>z dnia 9 stycznia 2026 r. o zmianie niektórych ustaw związanych z funkcjonowaniem administracji rządowej (Dz. U. poz. 160).</w:t>
      </w:r>
    </w:p>
  </w:footnote>
  <w:footnote w:id="4">
    <w:p w14:paraId="0C6DB8E6" w14:textId="77777777" w:rsidR="002F3867" w:rsidRDefault="002F3867" w:rsidP="002F3867">
      <w:pPr>
        <w:pStyle w:val="ODNONIKtreodnonika"/>
      </w:pPr>
      <w:r>
        <w:rPr>
          <w:rStyle w:val="Odwoanieprzypisudolnego"/>
        </w:rPr>
        <w:footnoteRef/>
      </w:r>
      <w:r w:rsidRPr="00881F4F">
        <w:rPr>
          <w:rStyle w:val="IGindeksgrny"/>
        </w:rPr>
        <w:t>)</w:t>
      </w:r>
      <w:r>
        <w:tab/>
        <w:t xml:space="preserve">Rozporządzenie </w:t>
      </w:r>
      <w:r w:rsidRPr="0088016F">
        <w:t>Rady Ministrów z dnia 11 września 2025 r. w sprawie wysokości minimalnego wynagrodzenia za pracę oraz wysokości minimalnej stawki godzinowej w 2026 r.</w:t>
      </w:r>
      <w:r>
        <w:t xml:space="preserve"> (Dz. U.  poz. 1242).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23AD" w14:textId="77777777" w:rsidR="00CE5A9C" w:rsidRPr="00B371CC" w:rsidRDefault="002F3867"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111DC"/>
    <w:multiLevelType w:val="singleLevel"/>
    <w:tmpl w:val="9D2C0646"/>
    <w:lvl w:ilvl="0">
      <w:start w:val="1"/>
      <w:numFmt w:val="bullet"/>
      <w:pStyle w:val="tiret"/>
      <w:lvlText w:val="-"/>
      <w:lvlJc w:val="left"/>
      <w:pPr>
        <w:tabs>
          <w:tab w:val="num" w:pos="1211"/>
        </w:tabs>
        <w:ind w:left="1211" w:hanging="360"/>
      </w:pPr>
      <w:rPr>
        <w:rFonts w:hint="default"/>
      </w:rPr>
    </w:lvl>
  </w:abstractNum>
  <w:abstractNum w:abstractNumId="1" w15:restartNumberingAfterBreak="0">
    <w:nsid w:val="21684525"/>
    <w:multiLevelType w:val="singleLevel"/>
    <w:tmpl w:val="6792BDB4"/>
    <w:lvl w:ilvl="0">
      <w:start w:val="1"/>
      <w:numFmt w:val="decimal"/>
      <w:lvlText w:val="%1)"/>
      <w:lvlJc w:val="left"/>
      <w:pPr>
        <w:tabs>
          <w:tab w:val="num" w:pos="397"/>
        </w:tabs>
        <w:ind w:left="397" w:hanging="397"/>
      </w:pPr>
    </w:lvl>
  </w:abstractNum>
  <w:abstractNum w:abstractNumId="2" w15:restartNumberingAfterBreak="0">
    <w:nsid w:val="301C61B4"/>
    <w:multiLevelType w:val="singleLevel"/>
    <w:tmpl w:val="1ECCD4F4"/>
    <w:lvl w:ilvl="0">
      <w:start w:val="1"/>
      <w:numFmt w:val="decimal"/>
      <w:lvlText w:val="%1)"/>
      <w:lvlJc w:val="left"/>
      <w:pPr>
        <w:tabs>
          <w:tab w:val="num" w:pos="397"/>
        </w:tabs>
        <w:ind w:left="397" w:hanging="397"/>
      </w:pPr>
    </w:lvl>
  </w:abstractNum>
  <w:abstractNum w:abstractNumId="3" w15:restartNumberingAfterBreak="0">
    <w:nsid w:val="63A757D5"/>
    <w:multiLevelType w:val="singleLevel"/>
    <w:tmpl w:val="92B6EFF2"/>
    <w:lvl w:ilvl="0">
      <w:start w:val="1"/>
      <w:numFmt w:val="lowerLetter"/>
      <w:lvlText w:val="%1)"/>
      <w:lvlJc w:val="left"/>
      <w:pPr>
        <w:tabs>
          <w:tab w:val="num" w:pos="786"/>
        </w:tabs>
        <w:ind w:left="786" w:hanging="360"/>
      </w:pPr>
      <w:rPr>
        <w:rFonts w:hint="default"/>
      </w:rPr>
    </w:lvl>
  </w:abstractNum>
  <w:abstractNum w:abstractNumId="4" w15:restartNumberingAfterBreak="0">
    <w:nsid w:val="76600E1C"/>
    <w:multiLevelType w:val="singleLevel"/>
    <w:tmpl w:val="917A9C24"/>
    <w:lvl w:ilvl="0">
      <w:start w:val="1"/>
      <w:numFmt w:val="decimal"/>
      <w:lvlText w:val="%1)"/>
      <w:lvlJc w:val="left"/>
      <w:pPr>
        <w:tabs>
          <w:tab w:val="num" w:pos="360"/>
        </w:tabs>
        <w:ind w:left="360" w:hanging="360"/>
      </w:pPr>
      <w:rPr>
        <w:rFonts w:hint="default"/>
      </w:rPr>
    </w:lvl>
  </w:abstractNum>
  <w:num w:numId="1" w16cid:durableId="869877245">
    <w:abstractNumId w:val="2"/>
  </w:num>
  <w:num w:numId="2" w16cid:durableId="1967194462">
    <w:abstractNumId w:val="2"/>
  </w:num>
  <w:num w:numId="3" w16cid:durableId="75983166">
    <w:abstractNumId w:val="1"/>
  </w:num>
  <w:num w:numId="4" w16cid:durableId="334111379">
    <w:abstractNumId w:val="1"/>
  </w:num>
  <w:num w:numId="5" w16cid:durableId="853570941">
    <w:abstractNumId w:val="4"/>
  </w:num>
  <w:num w:numId="6" w16cid:durableId="871772204">
    <w:abstractNumId w:val="3"/>
  </w:num>
  <w:num w:numId="7" w16cid:durableId="551160903">
    <w:abstractNumId w:val="4"/>
  </w:num>
  <w:num w:numId="8" w16cid:durableId="1428963980">
    <w:abstractNumId w:val="3"/>
  </w:num>
  <w:num w:numId="9" w16cid:durableId="1219054713">
    <w:abstractNumId w:val="4"/>
  </w:num>
  <w:num w:numId="10" w16cid:durableId="507989836">
    <w:abstractNumId w:val="3"/>
  </w:num>
  <w:num w:numId="11" w16cid:durableId="110172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F7"/>
    <w:rsid w:val="00093EF3"/>
    <w:rsid w:val="000A5CE8"/>
    <w:rsid w:val="001A37B5"/>
    <w:rsid w:val="001A4397"/>
    <w:rsid w:val="001F77C7"/>
    <w:rsid w:val="002565A6"/>
    <w:rsid w:val="00265BDE"/>
    <w:rsid w:val="002B0A43"/>
    <w:rsid w:val="002B324C"/>
    <w:rsid w:val="002B3309"/>
    <w:rsid w:val="002F3867"/>
    <w:rsid w:val="00382AAC"/>
    <w:rsid w:val="003D778D"/>
    <w:rsid w:val="004011B8"/>
    <w:rsid w:val="004F1121"/>
    <w:rsid w:val="00527E52"/>
    <w:rsid w:val="0056045F"/>
    <w:rsid w:val="0056272D"/>
    <w:rsid w:val="006510A7"/>
    <w:rsid w:val="006B11F2"/>
    <w:rsid w:val="006F026C"/>
    <w:rsid w:val="00735880"/>
    <w:rsid w:val="00777F90"/>
    <w:rsid w:val="00791F1D"/>
    <w:rsid w:val="0086349B"/>
    <w:rsid w:val="00874611"/>
    <w:rsid w:val="008758BB"/>
    <w:rsid w:val="008C7EE7"/>
    <w:rsid w:val="00903801"/>
    <w:rsid w:val="009D2757"/>
    <w:rsid w:val="00A06AF3"/>
    <w:rsid w:val="00A12675"/>
    <w:rsid w:val="00A64935"/>
    <w:rsid w:val="00A64FF7"/>
    <w:rsid w:val="00AF364E"/>
    <w:rsid w:val="00B5303C"/>
    <w:rsid w:val="00CE5A9C"/>
    <w:rsid w:val="00D829F5"/>
    <w:rsid w:val="00DE6D22"/>
    <w:rsid w:val="00E15D93"/>
    <w:rsid w:val="00E9643A"/>
    <w:rsid w:val="00ED6101"/>
    <w:rsid w:val="00FA79A6"/>
    <w:rsid w:val="00FC13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8D1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2675"/>
    <w:pPr>
      <w:widowControl w:val="0"/>
      <w:autoSpaceDE w:val="0"/>
      <w:autoSpaceDN w:val="0"/>
      <w:adjustRightInd w:val="0"/>
      <w:spacing w:line="360" w:lineRule="auto"/>
      <w:jc w:val="both"/>
    </w:pPr>
    <w:rPr>
      <w:rFonts w:eastAsiaTheme="minorEastAsia" w:cs="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A6">
    <w:name w:val="Adres-A6"/>
    <w:basedOn w:val="Normalny"/>
    <w:next w:val="Normalny"/>
    <w:rsid w:val="00735880"/>
    <w:pPr>
      <w:widowControl/>
      <w:autoSpaceDE/>
      <w:autoSpaceDN/>
      <w:adjustRightInd/>
      <w:spacing w:after="600"/>
      <w:ind w:left="5245"/>
      <w:jc w:val="left"/>
    </w:pPr>
    <w:rPr>
      <w:rFonts w:eastAsia="Times New Roman" w:cs="Times New Roman"/>
    </w:rPr>
  </w:style>
  <w:style w:type="paragraph" w:customStyle="1" w:styleId="Podpis-A7">
    <w:name w:val="Podpis-A7"/>
    <w:basedOn w:val="Normalny"/>
    <w:rsid w:val="00735880"/>
    <w:pPr>
      <w:widowControl/>
      <w:tabs>
        <w:tab w:val="center" w:pos="1701"/>
        <w:tab w:val="center" w:pos="6237"/>
      </w:tabs>
      <w:autoSpaceDE/>
      <w:autoSpaceDN/>
      <w:adjustRightInd/>
      <w:jc w:val="left"/>
    </w:pPr>
    <w:rPr>
      <w:rFonts w:eastAsia="Times New Roman" w:cs="Times New Roman"/>
    </w:rPr>
  </w:style>
  <w:style w:type="paragraph" w:customStyle="1" w:styleId="pkt">
    <w:name w:val="pkt"/>
    <w:basedOn w:val="Normalny"/>
    <w:rsid w:val="00735880"/>
    <w:pPr>
      <w:widowControl/>
      <w:autoSpaceDE/>
      <w:autoSpaceDN/>
      <w:adjustRightInd/>
      <w:ind w:left="357" w:hanging="357"/>
    </w:pPr>
    <w:rPr>
      <w:rFonts w:eastAsia="Times New Roman" w:cs="Times New Roman"/>
    </w:rPr>
  </w:style>
  <w:style w:type="paragraph" w:customStyle="1" w:styleId="ppkt">
    <w:name w:val="ppkt"/>
    <w:basedOn w:val="Normalny"/>
    <w:rsid w:val="00735880"/>
    <w:pPr>
      <w:widowControl/>
      <w:autoSpaceDE/>
      <w:autoSpaceDN/>
      <w:adjustRightInd/>
      <w:ind w:left="782" w:hanging="425"/>
    </w:pPr>
    <w:rPr>
      <w:rFonts w:eastAsia="Times New Roman" w:cs="Times New Roman"/>
    </w:rPr>
  </w:style>
  <w:style w:type="paragraph" w:customStyle="1" w:styleId="akapit">
    <w:name w:val="akapit"/>
    <w:basedOn w:val="Normalny"/>
    <w:rsid w:val="00735880"/>
    <w:pPr>
      <w:widowControl/>
      <w:autoSpaceDE/>
      <w:autoSpaceDN/>
      <w:adjustRightInd/>
      <w:ind w:firstLine="851"/>
    </w:pPr>
    <w:rPr>
      <w:rFonts w:eastAsia="Times New Roman" w:cs="Times New Roman"/>
    </w:rPr>
  </w:style>
  <w:style w:type="paragraph" w:customStyle="1" w:styleId="art">
    <w:name w:val="art"/>
    <w:basedOn w:val="Normalny"/>
    <w:rsid w:val="00735880"/>
    <w:pPr>
      <w:widowControl/>
      <w:tabs>
        <w:tab w:val="left" w:pos="1276"/>
      </w:tabs>
      <w:autoSpaceDE/>
      <w:autoSpaceDN/>
      <w:adjustRightInd/>
      <w:ind w:left="1276" w:hanging="992"/>
      <w:jc w:val="left"/>
    </w:pPr>
    <w:rPr>
      <w:rFonts w:eastAsia="Times New Roman" w:cs="Times New Roman"/>
    </w:rPr>
  </w:style>
  <w:style w:type="paragraph" w:customStyle="1" w:styleId="tiret">
    <w:name w:val="tiret"/>
    <w:basedOn w:val="akapit"/>
    <w:rsid w:val="00735880"/>
    <w:pPr>
      <w:numPr>
        <w:numId w:val="11"/>
      </w:numPr>
    </w:pPr>
  </w:style>
  <w:style w:type="paragraph" w:customStyle="1" w:styleId="Senatorowie">
    <w:name w:val="Senatorowie"/>
    <w:basedOn w:val="Normalny"/>
    <w:rsid w:val="00735880"/>
    <w:pPr>
      <w:widowControl/>
      <w:autoSpaceDE/>
      <w:autoSpaceDN/>
      <w:adjustRightInd/>
      <w:jc w:val="left"/>
    </w:pPr>
    <w:rPr>
      <w:rFonts w:eastAsia="Times New Roman" w:cs="Times New Roman"/>
    </w:rPr>
  </w:style>
  <w:style w:type="paragraph" w:customStyle="1" w:styleId="DATAAKTUdatauchwalenialubwydaniaaktu">
    <w:name w:val="DATA_AKTU – data uchwalenia lub wydania aktu"/>
    <w:next w:val="TYTUAKTUprzedmiotregulacjiustawylubrozporzdzenia"/>
    <w:link w:val="DATAAKTUdatauchwalenialubwydaniaaktuZnak"/>
    <w:uiPriority w:val="6"/>
    <w:qFormat/>
    <w:rsid w:val="00A12675"/>
    <w:pPr>
      <w:keepNext/>
      <w:suppressAutoHyphens/>
      <w:spacing w:before="120" w:after="120" w:line="360" w:lineRule="auto"/>
      <w:jc w:val="center"/>
    </w:pPr>
    <w:rPr>
      <w:rFonts w:ascii="Times" w:eastAsiaTheme="minorEastAsia" w:hAnsi="Times" w:cs="Arial"/>
      <w:bCs/>
      <w:sz w:val="24"/>
      <w:szCs w:val="24"/>
    </w:rPr>
  </w:style>
  <w:style w:type="character" w:customStyle="1" w:styleId="DATAAKTUdatauchwalenialubwydaniaaktuZnak">
    <w:name w:val="DATA_AKTU – data uchwalenia lub wydania aktu Znak"/>
    <w:basedOn w:val="Domylnaczcionkaakapitu"/>
    <w:link w:val="DATAAKTUdatauchwalenialubwydaniaaktu"/>
    <w:uiPriority w:val="6"/>
    <w:rsid w:val="00A12675"/>
    <w:rPr>
      <w:rFonts w:ascii="Times" w:eastAsiaTheme="minorEastAsia" w:hAnsi="Times" w:cs="Arial"/>
      <w:bCs/>
      <w:sz w:val="24"/>
      <w:szCs w:val="24"/>
    </w:rPr>
  </w:style>
  <w:style w:type="paragraph" w:customStyle="1" w:styleId="TYTUAKTUprzedmiotregulacjiustawylubrozporzdzenia">
    <w:name w:val="TYTUŁ_AKTU – przedmiot regulacji ustawy lub rozporządzenia"/>
    <w:next w:val="Normalny"/>
    <w:link w:val="TYTUAKTUprzedmiotregulacjiustawylubrozporzdzeniaZnak"/>
    <w:uiPriority w:val="6"/>
    <w:qFormat/>
    <w:rsid w:val="00A12675"/>
    <w:pPr>
      <w:keepNext/>
      <w:suppressAutoHyphens/>
      <w:spacing w:before="120" w:after="360" w:line="360" w:lineRule="auto"/>
      <w:jc w:val="center"/>
    </w:pPr>
    <w:rPr>
      <w:rFonts w:ascii="Times" w:eastAsiaTheme="minorEastAsia" w:hAnsi="Times" w:cs="Arial"/>
      <w:b/>
      <w:bCs/>
      <w:sz w:val="24"/>
      <w:szCs w:val="24"/>
    </w:rPr>
  </w:style>
  <w:style w:type="character" w:customStyle="1" w:styleId="TYTUAKTUprzedmiotregulacjiustawylubrozporzdzeniaZnak">
    <w:name w:val="TYTUŁ_AKTU – przedmiot regulacji ustawy lub rozporządzenia Znak"/>
    <w:basedOn w:val="Domylnaczcionkaakapitu"/>
    <w:link w:val="TYTUAKTUprzedmiotregulacjiustawylubrozporzdzenia"/>
    <w:uiPriority w:val="6"/>
    <w:rsid w:val="00A12675"/>
    <w:rPr>
      <w:rFonts w:ascii="Times" w:eastAsiaTheme="minorEastAsia" w:hAnsi="Times" w:cs="Arial"/>
      <w:b/>
      <w:bCs/>
      <w:sz w:val="24"/>
      <w:szCs w:val="24"/>
    </w:rPr>
  </w:style>
  <w:style w:type="paragraph" w:customStyle="1" w:styleId="NIEARTTEKSTtekstnieartykuowanynppreambua">
    <w:name w:val="NIEART_TEKST – tekst nieartykułowany (np. preambuła)"/>
    <w:basedOn w:val="Normalny"/>
    <w:next w:val="Normalny"/>
    <w:link w:val="NIEARTTEKSTtekstnieartykuowanynppreambuaZnak"/>
    <w:uiPriority w:val="4"/>
    <w:qFormat/>
    <w:rsid w:val="00A12675"/>
    <w:pPr>
      <w:widowControl/>
      <w:suppressAutoHyphens/>
      <w:spacing w:before="120"/>
      <w:ind w:firstLine="510"/>
    </w:pPr>
    <w:rPr>
      <w:rFonts w:ascii="Times" w:hAnsi="Times"/>
      <w:bCs/>
    </w:rPr>
  </w:style>
  <w:style w:type="character" w:customStyle="1" w:styleId="NIEARTTEKSTtekstnieartykuowanynppreambuaZnak">
    <w:name w:val="NIEART_TEKST – tekst nieartykułowany (np. preambuła) Znak"/>
    <w:basedOn w:val="Domylnaczcionkaakapitu"/>
    <w:link w:val="NIEARTTEKSTtekstnieartykuowanynppreambua"/>
    <w:uiPriority w:val="4"/>
    <w:rsid w:val="00A12675"/>
    <w:rPr>
      <w:rFonts w:ascii="Times" w:eastAsiaTheme="minorEastAsia" w:hAnsi="Times" w:cs="Arial"/>
      <w:bCs/>
      <w:sz w:val="24"/>
    </w:rPr>
  </w:style>
  <w:style w:type="paragraph" w:customStyle="1" w:styleId="OZNRODZAKTUtznustawalubrozporzdzenieiorganwydajcy">
    <w:name w:val="OZN_RODZ_AKTU – tzn. ustawa lub rozporządzenie i organ wydający"/>
    <w:next w:val="DATAAKTUdatauchwalenialubwydaniaaktu"/>
    <w:link w:val="OZNRODZAKTUtznustawalubrozporzdzenieiorganwydajcyZnak"/>
    <w:uiPriority w:val="5"/>
    <w:qFormat/>
    <w:rsid w:val="00A12675"/>
    <w:pPr>
      <w:keepNext/>
      <w:suppressAutoHyphens/>
      <w:spacing w:after="120" w:line="360" w:lineRule="auto"/>
      <w:jc w:val="center"/>
    </w:pPr>
    <w:rPr>
      <w:rFonts w:ascii="Times" w:hAnsi="Times"/>
      <w:b/>
      <w:bCs/>
      <w:caps/>
      <w:spacing w:val="54"/>
      <w:kern w:val="24"/>
      <w:sz w:val="24"/>
      <w:szCs w:val="24"/>
    </w:rPr>
  </w:style>
  <w:style w:type="character" w:customStyle="1" w:styleId="OZNRODZAKTUtznustawalubrozporzdzenieiorganwydajcyZnak">
    <w:name w:val="OZN_RODZ_AKTU – tzn. ustawa lub rozporządzenie i organ wydający Znak"/>
    <w:link w:val="OZNRODZAKTUtznustawalubrozporzdzenieiorganwydajcy"/>
    <w:uiPriority w:val="5"/>
    <w:rsid w:val="00A12675"/>
    <w:rPr>
      <w:rFonts w:ascii="Times" w:hAnsi="Times"/>
      <w:b/>
      <w:bCs/>
      <w:caps/>
      <w:spacing w:val="54"/>
      <w:kern w:val="24"/>
      <w:sz w:val="24"/>
      <w:szCs w:val="24"/>
    </w:rPr>
  </w:style>
  <w:style w:type="paragraph" w:customStyle="1" w:styleId="POPIERAJCYPOPRAWKZAMIESZCZONWZESTAWIENIUWNIOSKW">
    <w:name w:val="POPIERAJĄCY POPRAWKĘ ZAMIESZCZONĄ W ZESTAWIENIU WNIOSKÓW"/>
    <w:basedOn w:val="Normalny"/>
    <w:qFormat/>
    <w:rsid w:val="00A12675"/>
    <w:pPr>
      <w:widowControl/>
      <w:autoSpaceDE/>
      <w:autoSpaceDN/>
      <w:adjustRightInd/>
      <w:spacing w:line="240" w:lineRule="auto"/>
      <w:contextualSpacing/>
      <w:jc w:val="left"/>
    </w:pPr>
    <w:rPr>
      <w:sz w:val="20"/>
    </w:rPr>
  </w:style>
  <w:style w:type="character" w:customStyle="1" w:styleId="Ppogrubienie">
    <w:name w:val="_P_ – pogrubienie"/>
    <w:basedOn w:val="Domylnaczcionkaakapitu"/>
    <w:uiPriority w:val="1"/>
    <w:qFormat/>
    <w:rsid w:val="00A12675"/>
    <w:rPr>
      <w:b/>
    </w:rPr>
  </w:style>
  <w:style w:type="paragraph" w:customStyle="1" w:styleId="ARTartustawynprozporzdzenia">
    <w:name w:val="ART(§) – art. ustawy (§ np. rozporządzenia)"/>
    <w:uiPriority w:val="11"/>
    <w:qFormat/>
    <w:rsid w:val="002B324C"/>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ZUSTzmustartykuempunktem">
    <w:name w:val="Z/UST(§) – zm. ust. (§) artykułem (punktem)"/>
    <w:basedOn w:val="Normalny"/>
    <w:uiPriority w:val="30"/>
    <w:qFormat/>
    <w:rsid w:val="002B324C"/>
    <w:pPr>
      <w:widowControl/>
      <w:suppressAutoHyphens/>
      <w:ind w:left="510" w:firstLine="510"/>
    </w:pPr>
    <w:rPr>
      <w:rFonts w:ascii="Times" w:hAnsi="Times"/>
    </w:rPr>
  </w:style>
  <w:style w:type="paragraph" w:customStyle="1" w:styleId="OZNPROJEKTUwskazaniedatylubwersjiprojektu">
    <w:name w:val="OZN_PROJEKTU – wskazanie daty lub wersji projektu"/>
    <w:next w:val="OZNRODZAKTUtznustawalubrozporzdzenieiorganwydajcy"/>
    <w:qFormat/>
    <w:rsid w:val="002B324C"/>
    <w:pPr>
      <w:spacing w:line="360" w:lineRule="auto"/>
      <w:jc w:val="right"/>
    </w:pPr>
    <w:rPr>
      <w:rFonts w:eastAsiaTheme="minorEastAsia" w:cs="Arial"/>
      <w:sz w:val="24"/>
      <w:u w:val="single"/>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2B324C"/>
    <w:rPr>
      <w:bCs/>
    </w:rPr>
  </w:style>
  <w:style w:type="paragraph" w:customStyle="1" w:styleId="PKTpunkt">
    <w:name w:val="PKT – punkt"/>
    <w:uiPriority w:val="13"/>
    <w:qFormat/>
    <w:rsid w:val="002B324C"/>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4"/>
    <w:qFormat/>
    <w:rsid w:val="002B324C"/>
    <w:pPr>
      <w:ind w:left="986" w:hanging="476"/>
    </w:pPr>
  </w:style>
  <w:style w:type="paragraph" w:styleId="Nagwek">
    <w:name w:val="header"/>
    <w:basedOn w:val="Normalny"/>
    <w:link w:val="NagwekZnak"/>
    <w:uiPriority w:val="99"/>
    <w:unhideWhenUsed/>
    <w:rsid w:val="002B324C"/>
    <w:pPr>
      <w:tabs>
        <w:tab w:val="center" w:pos="4536"/>
        <w:tab w:val="right" w:pos="9072"/>
      </w:tabs>
      <w:spacing w:line="240" w:lineRule="auto"/>
    </w:pPr>
  </w:style>
  <w:style w:type="character" w:customStyle="1" w:styleId="NagwekZnak">
    <w:name w:val="Nagłówek Znak"/>
    <w:basedOn w:val="Domylnaczcionkaakapitu"/>
    <w:link w:val="Nagwek"/>
    <w:uiPriority w:val="99"/>
    <w:rsid w:val="002B324C"/>
    <w:rPr>
      <w:rFonts w:eastAsiaTheme="minorEastAsia" w:cs="Arial"/>
      <w:sz w:val="24"/>
    </w:rPr>
  </w:style>
  <w:style w:type="paragraph" w:styleId="Stopka">
    <w:name w:val="footer"/>
    <w:basedOn w:val="Normalny"/>
    <w:link w:val="StopkaZnak"/>
    <w:uiPriority w:val="99"/>
    <w:unhideWhenUsed/>
    <w:rsid w:val="002B324C"/>
    <w:pPr>
      <w:tabs>
        <w:tab w:val="center" w:pos="4536"/>
        <w:tab w:val="right" w:pos="9072"/>
      </w:tabs>
      <w:spacing w:line="240" w:lineRule="auto"/>
    </w:pPr>
  </w:style>
  <w:style w:type="character" w:customStyle="1" w:styleId="StopkaZnak">
    <w:name w:val="Stopka Znak"/>
    <w:basedOn w:val="Domylnaczcionkaakapitu"/>
    <w:link w:val="Stopka"/>
    <w:uiPriority w:val="99"/>
    <w:rsid w:val="002B324C"/>
    <w:rPr>
      <w:rFonts w:eastAsiaTheme="minorEastAsia" w:cs="Arial"/>
      <w:sz w:val="24"/>
    </w:rPr>
  </w:style>
  <w:style w:type="paragraph" w:customStyle="1" w:styleId="ZPKTzmpktartykuempunktem">
    <w:name w:val="Z/PKT – zm. pkt artykułem (punktem)"/>
    <w:basedOn w:val="Normalny"/>
    <w:uiPriority w:val="31"/>
    <w:qFormat/>
    <w:rsid w:val="0056272D"/>
    <w:pPr>
      <w:widowControl/>
      <w:autoSpaceDE/>
      <w:autoSpaceDN/>
      <w:adjustRightInd/>
      <w:ind w:left="1020" w:hanging="510"/>
    </w:pPr>
    <w:rPr>
      <w:rFonts w:ascii="Times" w:hAnsi="Times"/>
      <w:bCs/>
    </w:rPr>
  </w:style>
  <w:style w:type="paragraph" w:customStyle="1" w:styleId="ZARTzmartartykuempunktem">
    <w:name w:val="Z/ART(§) – zm. art. (§) artykułem (punktem)"/>
    <w:basedOn w:val="ARTartustawynprozporzdzenia"/>
    <w:uiPriority w:val="30"/>
    <w:qFormat/>
    <w:rsid w:val="0056272D"/>
    <w:pPr>
      <w:spacing w:before="0"/>
      <w:ind w:left="510"/>
    </w:pPr>
  </w:style>
  <w:style w:type="paragraph" w:customStyle="1" w:styleId="ODNONIKtreodnonika">
    <w:name w:val="ODNOŚNIK – treść odnośnika"/>
    <w:uiPriority w:val="19"/>
    <w:qFormat/>
    <w:rsid w:val="0056272D"/>
    <w:pPr>
      <w:ind w:left="284" w:hanging="284"/>
      <w:jc w:val="both"/>
    </w:pPr>
    <w:rPr>
      <w:rFonts w:eastAsiaTheme="minorEastAsia" w:cs="Arial"/>
    </w:rPr>
  </w:style>
  <w:style w:type="character" w:customStyle="1" w:styleId="IGindeksgrny">
    <w:name w:val="_IG_ – indeks górny"/>
    <w:basedOn w:val="Domylnaczcionkaakapitu"/>
    <w:uiPriority w:val="2"/>
    <w:qFormat/>
    <w:rsid w:val="0056272D"/>
    <w:rPr>
      <w:b w:val="0"/>
      <w:i w:val="0"/>
      <w:vanish w:val="0"/>
      <w:spacing w:val="0"/>
      <w:vertAlign w:val="superscript"/>
    </w:rPr>
  </w:style>
  <w:style w:type="character" w:customStyle="1" w:styleId="Kkursywa">
    <w:name w:val="_K_ – kursywa"/>
    <w:basedOn w:val="Domylnaczcionkaakapitu"/>
    <w:uiPriority w:val="1"/>
    <w:qFormat/>
    <w:rsid w:val="0056272D"/>
    <w:rPr>
      <w:i/>
    </w:rPr>
  </w:style>
  <w:style w:type="paragraph" w:customStyle="1" w:styleId="TIRtiret">
    <w:name w:val="TIR – tiret"/>
    <w:basedOn w:val="LITlitera"/>
    <w:uiPriority w:val="15"/>
    <w:qFormat/>
    <w:rsid w:val="00265BDE"/>
    <w:pPr>
      <w:ind w:left="1384" w:hanging="397"/>
    </w:pPr>
  </w:style>
  <w:style w:type="paragraph" w:customStyle="1" w:styleId="ZLITUSTzmustliter">
    <w:name w:val="Z_LIT/UST(§) – zm. ust. (§) literą"/>
    <w:basedOn w:val="Normalny"/>
    <w:uiPriority w:val="46"/>
    <w:qFormat/>
    <w:rsid w:val="00265BDE"/>
    <w:pPr>
      <w:widowControl/>
      <w:suppressAutoHyphens/>
      <w:ind w:left="987" w:firstLine="510"/>
    </w:pPr>
    <w:rPr>
      <w:rFonts w:ascii="Times" w:hAnsi="Times"/>
      <w:bCs/>
    </w:rPr>
  </w:style>
  <w:style w:type="paragraph" w:customStyle="1" w:styleId="ZLITPKTzmpktliter">
    <w:name w:val="Z_LIT/PKT – zm. pkt literą"/>
    <w:basedOn w:val="PKTpunkt"/>
    <w:uiPriority w:val="47"/>
    <w:qFormat/>
    <w:rsid w:val="00265BDE"/>
    <w:pPr>
      <w:ind w:left="1497"/>
    </w:pPr>
  </w:style>
  <w:style w:type="paragraph" w:customStyle="1" w:styleId="ZTIRPKTzmpkttiret">
    <w:name w:val="Z_TIR/PKT – zm. pkt tiret"/>
    <w:basedOn w:val="PKTpunkt"/>
    <w:uiPriority w:val="56"/>
    <w:qFormat/>
    <w:rsid w:val="00265BDE"/>
    <w:pPr>
      <w:ind w:left="1893"/>
    </w:pPr>
  </w:style>
  <w:style w:type="character" w:styleId="Odwoanieprzypisudolnego">
    <w:name w:val="footnote reference"/>
    <w:uiPriority w:val="99"/>
    <w:semiHidden/>
    <w:rsid w:val="002F386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16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714FC-19B4-4472-B878-9106FE6BD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2370</Words>
  <Characters>14225</Characters>
  <Application>Microsoft Office Word</Application>
  <DocSecurity>0</DocSecurity>
  <Lines>118</Lines>
  <Paragraphs>33</Paragraphs>
  <ScaleCrop>false</ScaleCrop>
  <Company/>
  <LinksUpToDate>false</LinksUpToDate>
  <CharactersWithSpaces>16562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2026-07-29T09:29:00Z</dcterms:created>
  <dcterms:modified xsi:type="dcterms:W3CDTF">2026-07-29T09:30:00Z</dcterms:modified>
</cp:coreProperties>
</file>